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10C3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512779E5">
      <w:pPr>
        <w:adjustRightInd w:val="0"/>
        <w:snapToGrid w:val="0"/>
        <w:spacing w:line="300" w:lineRule="auto"/>
        <w:ind w:left="10" w:leftChars="0" w:firstLine="660" w:firstLineChars="236"/>
        <w:rPr>
          <w:rFonts w:hint="eastAsia" w:asciiTheme="minorEastAsia" w:hAnsiTheme="minorEastAsia" w:cstheme="minorEastAsia"/>
          <w:sz w:val="28"/>
          <w:szCs w:val="28"/>
          <w:lang w:eastAsia="zh-CN"/>
        </w:rPr>
      </w:pPr>
    </w:p>
    <w:p w14:paraId="40C3EEF2">
      <w:pPr>
        <w:adjustRightInd w:val="0"/>
        <w:snapToGrid w:val="0"/>
        <w:spacing w:line="360" w:lineRule="auto"/>
        <w:ind w:left="10" w:leftChars="0" w:firstLine="566" w:firstLineChars="236"/>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lang w:eastAsia="zh-CN"/>
        </w:rPr>
        <w:t>江苏苏盐井神股份有限公司采供中心现对</w:t>
      </w:r>
      <w:r>
        <w:rPr>
          <w:rFonts w:hint="eastAsia" w:asciiTheme="minorEastAsia" w:hAnsiTheme="minorEastAsia" w:eastAsiaTheme="minorEastAsia" w:cstheme="minorEastAsia"/>
          <w:sz w:val="24"/>
          <w:szCs w:val="24"/>
          <w:u w:val="single"/>
          <w:lang w:val="en-US" w:eastAsia="zh-CN"/>
        </w:rPr>
        <w:t xml:space="preserve"> 储气库卤水制盐综合利用项目 </w:t>
      </w:r>
      <w:r>
        <w:rPr>
          <w:rFonts w:hint="eastAsia" w:asciiTheme="minorEastAsia" w:hAnsiTheme="minorEastAsia" w:eastAsiaTheme="minorEastAsia" w:cstheme="minorEastAsia"/>
          <w:sz w:val="24"/>
          <w:szCs w:val="24"/>
          <w:lang w:eastAsia="zh-CN"/>
        </w:rPr>
        <w:t>所需</w:t>
      </w:r>
      <w:r>
        <w:rPr>
          <w:rFonts w:hint="eastAsia" w:asciiTheme="minorEastAsia" w:hAnsiTheme="minorEastAsia" w:eastAsiaTheme="minorEastAsia" w:cstheme="minorEastAsia"/>
          <w:sz w:val="24"/>
          <w:szCs w:val="24"/>
          <w:u w:val="none"/>
          <w:lang w:val="en-US" w:eastAsia="zh-CN"/>
        </w:rPr>
        <w:t>的100T汽车衡及无人值守系统等设备</w:t>
      </w:r>
      <w:r>
        <w:rPr>
          <w:rFonts w:hint="eastAsia" w:asciiTheme="minorEastAsia" w:hAnsiTheme="minorEastAsia" w:eastAsiaTheme="minorEastAsia" w:cstheme="minorEastAsia"/>
          <w:sz w:val="24"/>
          <w:szCs w:val="24"/>
        </w:rPr>
        <w:t>进行</w:t>
      </w:r>
      <w:r>
        <w:rPr>
          <w:rFonts w:hint="eastAsia" w:asciiTheme="minorEastAsia" w:hAnsiTheme="minorEastAsia" w:eastAsiaTheme="minorEastAsia" w:cstheme="minorEastAsia"/>
          <w:sz w:val="24"/>
          <w:szCs w:val="24"/>
          <w:lang w:eastAsia="zh-CN"/>
        </w:rPr>
        <w:t>公开</w:t>
      </w:r>
      <w:r>
        <w:rPr>
          <w:rFonts w:hint="eastAsia" w:asciiTheme="minorEastAsia" w:hAnsiTheme="minorEastAsia" w:eastAsiaTheme="minorEastAsia" w:cstheme="minorEastAsia"/>
          <w:sz w:val="24"/>
          <w:szCs w:val="24"/>
        </w:rPr>
        <w:t>询比采购</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highlight w:val="none"/>
        </w:rPr>
        <w:t>本次询比采购为资格后审</w:t>
      </w:r>
      <w:r>
        <w:rPr>
          <w:rFonts w:hint="eastAsia" w:asciiTheme="minorEastAsia" w:hAnsiTheme="minorEastAsia" w:eastAsiaTheme="minorEastAsia" w:cstheme="minorEastAsia"/>
          <w:sz w:val="24"/>
          <w:szCs w:val="24"/>
          <w:highlight w:val="none"/>
          <w:lang w:eastAsia="zh-CN"/>
        </w:rPr>
        <w:t>。</w:t>
      </w:r>
    </w:p>
    <w:p w14:paraId="2EE9869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一、采购人信息 </w:t>
      </w:r>
    </w:p>
    <w:p w14:paraId="07CFB39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采购</w:t>
      </w:r>
      <w:r>
        <w:rPr>
          <w:rFonts w:hint="eastAsia" w:asciiTheme="minorEastAsia" w:hAnsiTheme="minorEastAsia" w:eastAsiaTheme="minorEastAsia" w:cstheme="minorEastAsia"/>
          <w:sz w:val="24"/>
          <w:szCs w:val="24"/>
          <w:lang w:eastAsia="zh-CN"/>
        </w:rPr>
        <w:t>人</w:t>
      </w:r>
      <w:r>
        <w:rPr>
          <w:rFonts w:hint="eastAsia" w:asciiTheme="minorEastAsia" w:hAnsiTheme="minorEastAsia" w:eastAsiaTheme="minorEastAsia" w:cstheme="minorEastAsia"/>
          <w:sz w:val="24"/>
          <w:szCs w:val="24"/>
        </w:rPr>
        <w:t>单位名称：</w:t>
      </w:r>
      <w:r>
        <w:rPr>
          <w:rFonts w:hint="eastAsia" w:asciiTheme="minorEastAsia" w:hAnsiTheme="minorEastAsia" w:eastAsiaTheme="minorEastAsia" w:cstheme="minorEastAsia"/>
          <w:sz w:val="24"/>
          <w:szCs w:val="24"/>
          <w:lang w:eastAsia="zh-CN"/>
        </w:rPr>
        <w:t>江苏苏盐井神股份有限公司</w:t>
      </w:r>
      <w:r>
        <w:rPr>
          <w:rFonts w:hint="eastAsia" w:asciiTheme="minorEastAsia" w:hAnsiTheme="minorEastAsia" w:eastAsiaTheme="minorEastAsia" w:cstheme="minorEastAsia"/>
          <w:sz w:val="24"/>
          <w:szCs w:val="24"/>
        </w:rPr>
        <w:t xml:space="preserve">  </w:t>
      </w:r>
    </w:p>
    <w:p w14:paraId="5AA9B17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地址：</w:t>
      </w:r>
      <w:r>
        <w:rPr>
          <w:rFonts w:hint="eastAsia" w:asciiTheme="minorEastAsia" w:hAnsiTheme="minorEastAsia" w:eastAsiaTheme="minorEastAsia" w:cstheme="minorEastAsia"/>
          <w:sz w:val="24"/>
          <w:szCs w:val="24"/>
          <w:lang w:eastAsia="zh-CN"/>
        </w:rPr>
        <w:t>江苏省淮安市淮安区井神路</w:t>
      </w:r>
      <w:r>
        <w:rPr>
          <w:rFonts w:hint="eastAsia" w:asciiTheme="minorEastAsia" w:hAnsiTheme="minorEastAsia" w:eastAsiaTheme="minorEastAsia" w:cstheme="minorEastAsia"/>
          <w:sz w:val="24"/>
          <w:szCs w:val="24"/>
          <w:lang w:val="en-US" w:eastAsia="zh-CN"/>
        </w:rPr>
        <w:t>1号</w:t>
      </w:r>
      <w:r>
        <w:rPr>
          <w:rFonts w:hint="eastAsia" w:asciiTheme="minorEastAsia" w:hAnsiTheme="minorEastAsia" w:eastAsiaTheme="minorEastAsia" w:cstheme="minorEastAsia"/>
          <w:sz w:val="24"/>
          <w:szCs w:val="24"/>
        </w:rPr>
        <w:t xml:space="preserve">  </w:t>
      </w:r>
    </w:p>
    <w:p w14:paraId="0ACC0952">
      <w:pPr>
        <w:keepNext w:val="0"/>
        <w:keepLines w:val="0"/>
        <w:pageBreakBefore w:val="0"/>
        <w:kinsoku/>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Theme="minorEastAsia" w:hAnsiTheme="minorEastAsia" w:eastAsiaTheme="minorEastAsia" w:cstheme="minorEastAsia"/>
          <w:sz w:val="24"/>
          <w:szCs w:val="24"/>
          <w:highlight w:val="none"/>
        </w:rPr>
        <w:t>3. 联系人</w:t>
      </w:r>
      <w:r>
        <w:rPr>
          <w:rFonts w:hint="eastAsia" w:asciiTheme="minorEastAsia" w:hAnsiTheme="minorEastAsia" w:eastAsiaTheme="minorEastAsia" w:cstheme="minorEastAsia"/>
          <w:sz w:val="24"/>
          <w:szCs w:val="24"/>
          <w:highlight w:val="none"/>
          <w:lang w:eastAsia="zh-CN"/>
        </w:rPr>
        <w:t>（电话）</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杨质明</w:t>
      </w:r>
      <w:r>
        <w:rPr>
          <w:rFonts w:hint="eastAsia" w:asciiTheme="minorEastAsia" w:hAnsiTheme="minorEastAsia" w:eastAsiaTheme="minorEastAsia" w:cstheme="minorEastAsia"/>
          <w:sz w:val="24"/>
          <w:szCs w:val="24"/>
          <w:highlight w:val="none"/>
          <w:lang w:val="en-US" w:eastAsia="zh-CN"/>
        </w:rPr>
        <w:t xml:space="preserve"> </w:t>
      </w:r>
      <w:r>
        <w:rPr>
          <w:rFonts w:hint="eastAsia" w:ascii="宋体" w:hAnsi="宋体" w:cs="宋体"/>
          <w:kern w:val="0"/>
          <w:sz w:val="24"/>
          <w:highlight w:val="none"/>
          <w:lang w:bidi="ar"/>
        </w:rPr>
        <w:t>13305230121</w:t>
      </w:r>
      <w:r>
        <w:rPr>
          <w:rFonts w:hint="eastAsia" w:asciiTheme="minorEastAsia" w:hAnsiTheme="minorEastAsia" w:eastAsiaTheme="minorEastAsia" w:cstheme="minorEastAsia"/>
          <w:sz w:val="24"/>
          <w:szCs w:val="24"/>
          <w:highlight w:val="none"/>
        </w:rPr>
        <w:t xml:space="preserve">  </w:t>
      </w:r>
    </w:p>
    <w:p w14:paraId="63B4233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二、采购内容 </w:t>
      </w:r>
    </w:p>
    <w:p w14:paraId="56DAD000">
      <w:pPr>
        <w:numPr>
          <w:ilvl w:val="0"/>
          <w:numId w:val="0"/>
        </w:numPr>
        <w:adjustRightInd w:val="0"/>
        <w:snapToGrid w:val="0"/>
        <w:spacing w:line="360" w:lineRule="auto"/>
        <w:ind w:leftChars="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采购</w:t>
      </w:r>
      <w:r>
        <w:rPr>
          <w:rFonts w:hint="eastAsia" w:ascii="宋体" w:hAnsi="宋体" w:eastAsia="宋体" w:cs="宋体"/>
          <w:sz w:val="24"/>
          <w:szCs w:val="24"/>
          <w:lang w:eastAsia="zh-CN"/>
        </w:rPr>
        <w:t>清单</w:t>
      </w:r>
      <w:r>
        <w:rPr>
          <w:rFonts w:hint="eastAsia" w:ascii="宋体" w:hAnsi="宋体" w:eastAsia="宋体" w:cs="宋体"/>
          <w:sz w:val="24"/>
          <w:szCs w:val="24"/>
        </w:rPr>
        <w:t>：</w:t>
      </w:r>
    </w:p>
    <w:tbl>
      <w:tblPr>
        <w:tblStyle w:val="5"/>
        <w:tblW w:w="93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5"/>
        <w:gridCol w:w="1493"/>
        <w:gridCol w:w="3664"/>
        <w:gridCol w:w="468"/>
        <w:gridCol w:w="630"/>
        <w:gridCol w:w="756"/>
        <w:gridCol w:w="834"/>
        <w:gridCol w:w="1035"/>
      </w:tblGrid>
      <w:tr w14:paraId="24D0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E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8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3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90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规格型号</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4E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CB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8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单价（元）</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A4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总价（元）</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2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品牌</w:t>
            </w:r>
          </w:p>
        </w:tc>
      </w:tr>
      <w:tr w14:paraId="685C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D5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7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汽车衡及配套无人值守系统（含安装和调试）</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8068">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Theme="minorEastAsia" w:hAnsiTheme="minorEastAsia" w:eastAsiaTheme="minorEastAsia" w:cstheme="minorEastAsia"/>
                <w:i w:val="0"/>
                <w:iCs w:val="0"/>
                <w:color w:val="000000"/>
                <w:kern w:val="0"/>
                <w:sz w:val="15"/>
                <w:szCs w:val="15"/>
                <w:u w:val="none"/>
                <w:lang w:val="en-US" w:eastAsia="zh-CN" w:bidi="ar"/>
              </w:rPr>
              <w:t>100T汽车衡及无人值守系统</w:t>
            </w:r>
            <w:r>
              <w:rPr>
                <w:rStyle w:val="8"/>
                <w:rFonts w:hint="eastAsia" w:asciiTheme="minorEastAsia" w:hAnsiTheme="minorEastAsia" w:eastAsiaTheme="minorEastAsia" w:cstheme="minorEastAsia"/>
                <w:sz w:val="15"/>
                <w:szCs w:val="15"/>
                <w:lang w:val="en-US" w:eastAsia="zh-CN" w:bidi="ar"/>
              </w:rPr>
              <w:t xml:space="preserve"> （1、数字式电子汽车衡秤台长度为18米，宽度为3.4米，最大称量100吨。静态称重精度为国家III级以上标准，能承受125%额定负载，并具有良好的防潮性、防腐蚀、防滑性功能；2、称重仪表应采用超大液晶显示屏，全中文操作界面；3、汽车衡应采用国际领先品牌柱式不锈钢传感器，串式链接，无接线盒，全不锈钢材质，内置漏气检测、防作弊功能，保证系统高可靠性。（要求提供计量器具型式批准证书）；4、称重显示控制器内能实时获取传感器状态，可查询在线的衡器所配置传感器的数量、内码值、电压，维护日志等运行信息。）</w:t>
            </w:r>
            <w:r>
              <w:rPr>
                <w:rStyle w:val="9"/>
                <w:rFonts w:hint="eastAsia" w:asciiTheme="minorEastAsia" w:hAnsiTheme="minorEastAsia" w:eastAsiaTheme="minorEastAsia" w:cstheme="minorEastAsia"/>
                <w:sz w:val="15"/>
                <w:szCs w:val="15"/>
                <w:lang w:val="en-US" w:eastAsia="zh-CN" w:bidi="ar"/>
              </w:rPr>
              <w:t xml:space="preserve">                </w:t>
            </w:r>
            <w:r>
              <w:rPr>
                <w:rStyle w:val="8"/>
                <w:rFonts w:hint="eastAsia" w:asciiTheme="minorEastAsia" w:hAnsiTheme="minorEastAsia" w:eastAsiaTheme="minorEastAsia" w:cstheme="minorEastAsia"/>
                <w:sz w:val="15"/>
                <w:szCs w:val="15"/>
                <w:highlight w:val="yellow"/>
                <w:lang w:val="en-US" w:eastAsia="zh-CN" w:bidi="ar"/>
              </w:rPr>
              <w:t>【具体参数及要求详见《储气库卤水制盐综合利用工程汽车衡及无人值守系统设备采购及相关服务技 术 规 范 书》】</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7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0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683B">
            <w:pPr>
              <w:jc w:val="center"/>
              <w:rPr>
                <w:rFonts w:hint="eastAsia" w:ascii="宋体" w:hAnsi="宋体" w:eastAsia="宋体" w:cs="宋体"/>
                <w:i w:val="0"/>
                <w:iCs w:val="0"/>
                <w:color w:val="000000"/>
                <w:sz w:val="18"/>
                <w:szCs w:val="18"/>
                <w:u w:val="none"/>
              </w:rPr>
            </w:pP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176D">
            <w:pPr>
              <w:jc w:val="center"/>
              <w:rPr>
                <w:rFonts w:hint="eastAsia" w:ascii="宋体" w:hAnsi="宋体" w:eastAsia="宋体" w:cs="宋体"/>
                <w:i w:val="0"/>
                <w:iCs w:val="0"/>
                <w:color w:val="000000"/>
                <w:sz w:val="18"/>
                <w:szCs w:val="18"/>
                <w:u w:val="none"/>
              </w:rPr>
            </w:pPr>
          </w:p>
        </w:tc>
        <w:tc>
          <w:tcPr>
            <w:tcW w:w="1035" w:type="dxa"/>
            <w:tcBorders>
              <w:top w:val="single" w:color="000000" w:sz="4" w:space="0"/>
              <w:left w:val="nil"/>
              <w:bottom w:val="nil"/>
              <w:right w:val="single" w:color="000000" w:sz="4" w:space="0"/>
            </w:tcBorders>
            <w:shd w:val="clear" w:color="auto" w:fill="auto"/>
            <w:vAlign w:val="center"/>
          </w:tcPr>
          <w:p w14:paraId="6B853003">
            <w:pPr>
              <w:jc w:val="center"/>
              <w:rPr>
                <w:rFonts w:hint="eastAsia" w:ascii="宋体" w:hAnsi="宋体" w:eastAsia="宋体" w:cs="宋体"/>
                <w:i w:val="0"/>
                <w:iCs w:val="0"/>
                <w:color w:val="000000"/>
                <w:sz w:val="20"/>
                <w:szCs w:val="20"/>
                <w:u w:val="none"/>
              </w:rPr>
            </w:pPr>
          </w:p>
        </w:tc>
      </w:tr>
      <w:tr w14:paraId="7AC68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15D9">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515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4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723"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5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bl>
    <w:p w14:paraId="5F90F4F0">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rPr>
        <w:t xml:space="preserve">     </w:t>
      </w:r>
    </w:p>
    <w:p w14:paraId="54B4CDD2">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交货期：</w:t>
      </w:r>
      <w:r>
        <w:rPr>
          <w:rFonts w:hint="eastAsia" w:asciiTheme="minorEastAsia" w:hAnsiTheme="minorEastAsia" w:eastAsiaTheme="minorEastAsia" w:cstheme="minorEastAsia"/>
          <w:sz w:val="24"/>
          <w:szCs w:val="24"/>
          <w:highlight w:val="none"/>
          <w:lang w:val="en-US" w:eastAsia="zh-CN"/>
        </w:rPr>
        <w:t>合同签订后4个月交清全部货物(如因招标方原因需推迟交货期，则招标方应提前通知中标方)，中标方接到招标方通知后50天内完成安装、调试、校验工作并交付投标方使用。</w:t>
      </w:r>
      <w:r>
        <w:rPr>
          <w:rFonts w:hint="eastAsia" w:asciiTheme="minorEastAsia" w:hAnsiTheme="minorEastAsia" w:eastAsiaTheme="minorEastAsia" w:cstheme="minorEastAsia"/>
          <w:sz w:val="24"/>
          <w:szCs w:val="24"/>
          <w:highlight w:val="none"/>
        </w:rPr>
        <w:t xml:space="preserve">  </w:t>
      </w:r>
    </w:p>
    <w:p w14:paraId="26A90B99">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3、交货</w:t>
      </w:r>
      <w:r>
        <w:rPr>
          <w:rFonts w:hint="eastAsia" w:asciiTheme="minorEastAsia" w:hAnsiTheme="minorEastAsia" w:eastAsiaTheme="minorEastAsia" w:cstheme="minorEastAsia"/>
          <w:sz w:val="24"/>
          <w:szCs w:val="24"/>
          <w:highlight w:val="none"/>
        </w:rPr>
        <w:t xml:space="preserve">地点： </w:t>
      </w:r>
      <w:r>
        <w:rPr>
          <w:rFonts w:hint="eastAsia" w:asciiTheme="minorEastAsia" w:hAnsiTheme="minorEastAsia" w:eastAsiaTheme="minorEastAsia" w:cstheme="minorEastAsia"/>
          <w:sz w:val="24"/>
          <w:szCs w:val="24"/>
          <w:highlight w:val="none"/>
          <w:lang w:val="en-US" w:eastAsia="zh-CN"/>
        </w:rPr>
        <w:t>招标方项目施工现场。</w:t>
      </w:r>
    </w:p>
    <w:p w14:paraId="387055C8">
      <w:pPr>
        <w:pStyle w:val="4"/>
        <w:spacing w:line="360" w:lineRule="auto"/>
        <w:ind w:left="0" w:leftChars="0" w:firstLine="0" w:firstLineChars="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4、交货方式： 中标方送货上门，设备到达招标方项目施工现场后负责卸货，相关费用由中标方承担，招标方提供协助。</w:t>
      </w:r>
    </w:p>
    <w:p w14:paraId="78EDFDFF">
      <w:pPr>
        <w:pStyle w:val="10"/>
        <w:adjustRightInd w:val="0"/>
        <w:snapToGrid w:val="0"/>
        <w:spacing w:line="360" w:lineRule="auto"/>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人应在</w:t>
      </w:r>
      <w:r>
        <w:rPr>
          <w:rFonts w:hint="eastAsia" w:asciiTheme="minorEastAsia" w:hAnsiTheme="minorEastAsia" w:eastAsia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文件中提供投标设备详细的供货范围清单、主要部件、主要配套设备、材料的名称、品牌、型号规格、技术参数及性能、产品样本、数量、单价、制造商全称及制造地点等。</w:t>
      </w:r>
    </w:p>
    <w:p w14:paraId="6591E7F3">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本次招标，</w:t>
      </w:r>
      <w:r>
        <w:rPr>
          <w:rFonts w:hint="eastAsia" w:asciiTheme="minorEastAsia" w:hAnsi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人必须对招标的全部内容进行</w:t>
      </w:r>
      <w:r>
        <w:rPr>
          <w:rFonts w:hint="eastAsia" w:asciiTheme="minorEastAsia" w:hAnsi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；否则，招标人不予接受。</w:t>
      </w:r>
    </w:p>
    <w:p w14:paraId="1E03B43E">
      <w:pPr>
        <w:spacing w:line="360" w:lineRule="auto"/>
        <w:ind w:firstLine="480" w:firstLineChars="200"/>
        <w:rPr>
          <w:rFonts w:hint="eastAsia" w:asciiTheme="minorEastAsia" w:hAnsiTheme="minorEastAsia" w:eastAsiaTheme="minorEastAsia" w:cstheme="minorEastAsia"/>
          <w:sz w:val="24"/>
          <w:szCs w:val="24"/>
          <w:highlight w:val="none"/>
        </w:rPr>
      </w:pPr>
    </w:p>
    <w:p w14:paraId="1D05E23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三、报价人资格要求 </w:t>
      </w:r>
    </w:p>
    <w:p w14:paraId="764526B7">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报价人应为在中国境内注册并具有独立法人资格的合法企业,具有独立承担民事责任的能力,具有履行合同所必须的专业技术能力</w:t>
      </w:r>
      <w:r>
        <w:rPr>
          <w:rFonts w:hint="eastAsia" w:asciiTheme="minorEastAsia" w:hAnsiTheme="minorEastAsia" w:eastAsiaTheme="minorEastAsia" w:cstheme="minorEastAsia"/>
          <w:sz w:val="24"/>
          <w:szCs w:val="24"/>
          <w:highlight w:val="none"/>
          <w:lang w:eastAsia="zh-CN"/>
        </w:rPr>
        <w:t>。</w:t>
      </w:r>
    </w:p>
    <w:p w14:paraId="3D9B4AA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eastAsia="zh-CN"/>
        </w:rPr>
        <w:t>、自</w:t>
      </w:r>
      <w:r>
        <w:rPr>
          <w:rFonts w:hint="eastAsia" w:asciiTheme="minorEastAsia" w:hAnsiTheme="minorEastAsia" w:eastAsiaTheme="minorEastAsia" w:cstheme="minorEastAsia"/>
          <w:sz w:val="24"/>
          <w:szCs w:val="24"/>
          <w:highlight w:val="none"/>
          <w:lang w:val="en-US" w:eastAsia="zh-CN"/>
        </w:rPr>
        <w:t>2023年1月1日至今</w:t>
      </w:r>
      <w:r>
        <w:rPr>
          <w:rFonts w:hint="eastAsia" w:asciiTheme="minorEastAsia" w:hAnsiTheme="minorEastAsia" w:eastAsiaTheme="minorEastAsia" w:cstheme="minorEastAsia"/>
          <w:sz w:val="24"/>
          <w:szCs w:val="24"/>
          <w:highlight w:val="none"/>
          <w:lang w:eastAsia="zh-CN"/>
        </w:rPr>
        <w:t>所投同类型产品的供货业绩</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eastAsia="zh-CN"/>
        </w:rPr>
        <w:t>单份合同总额在</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cstheme="minorEastAsia"/>
          <w:sz w:val="24"/>
          <w:szCs w:val="24"/>
          <w:highlight w:val="none"/>
          <w:u w:val="single"/>
          <w:lang w:val="en-US" w:eastAsia="zh-CN"/>
        </w:rPr>
        <w:t>5</w:t>
      </w:r>
      <w:r>
        <w:rPr>
          <w:rFonts w:hint="eastAsia" w:asciiTheme="minorEastAsia" w:hAnsiTheme="minorEastAsia" w:eastAsiaTheme="minorEastAsia" w:cstheme="minorEastAsia"/>
          <w:sz w:val="24"/>
          <w:szCs w:val="24"/>
          <w:highlight w:val="none"/>
          <w:u w:val="single"/>
          <w:lang w:val="en-US" w:eastAsia="zh-CN"/>
        </w:rPr>
        <w:t xml:space="preserve">0 </w:t>
      </w:r>
      <w:r>
        <w:rPr>
          <w:rFonts w:hint="eastAsia" w:asciiTheme="minorEastAsia" w:hAnsiTheme="minorEastAsia" w:eastAsiaTheme="minorEastAsia" w:cstheme="minorEastAsia"/>
          <w:sz w:val="24"/>
          <w:szCs w:val="24"/>
          <w:highlight w:val="none"/>
          <w:lang w:eastAsia="zh-CN"/>
        </w:rPr>
        <w:t>万元</w:t>
      </w:r>
      <w:r>
        <w:rPr>
          <w:rFonts w:hint="eastAsia" w:asciiTheme="minorEastAsia" w:hAnsiTheme="minorEastAsia" w:cstheme="minorEastAsia"/>
          <w:sz w:val="24"/>
          <w:szCs w:val="24"/>
          <w:highlight w:val="none"/>
          <w:lang w:val="en-US" w:eastAsia="zh-CN"/>
        </w:rPr>
        <w:t>(含)</w:t>
      </w:r>
      <w:r>
        <w:rPr>
          <w:rFonts w:hint="eastAsia" w:asciiTheme="minorEastAsia" w:hAnsiTheme="minorEastAsia" w:eastAsiaTheme="minorEastAsia" w:cstheme="minorEastAsia"/>
          <w:sz w:val="24"/>
          <w:szCs w:val="24"/>
          <w:highlight w:val="none"/>
          <w:lang w:eastAsia="zh-CN"/>
        </w:rPr>
        <w:t>人民币</w:t>
      </w:r>
      <w:r>
        <w:rPr>
          <w:rFonts w:hint="eastAsia" w:asciiTheme="minorEastAsia" w:hAnsiTheme="minorEastAsia" w:cstheme="minorEastAsia"/>
          <w:sz w:val="24"/>
          <w:szCs w:val="24"/>
          <w:highlight w:val="none"/>
          <w:lang w:eastAsia="zh-CN"/>
        </w:rPr>
        <w:t>及</w:t>
      </w:r>
      <w:r>
        <w:rPr>
          <w:rFonts w:hint="eastAsia" w:asciiTheme="minorEastAsia" w:hAnsiTheme="minorEastAsia" w:eastAsiaTheme="minorEastAsia" w:cstheme="minorEastAsia"/>
          <w:sz w:val="24"/>
          <w:szCs w:val="24"/>
          <w:highlight w:val="none"/>
          <w:lang w:eastAsia="zh-CN"/>
        </w:rPr>
        <w:t>以上</w:t>
      </w:r>
      <w:r>
        <w:rPr>
          <w:rFonts w:hint="eastAsia" w:asciiTheme="minorEastAsia" w:hAnsiTheme="minorEastAsia" w:cstheme="minorEastAsia"/>
          <w:sz w:val="24"/>
          <w:szCs w:val="24"/>
          <w:highlight w:val="none"/>
          <w:lang w:eastAsia="zh-CN"/>
        </w:rPr>
        <w:t>的</w:t>
      </w:r>
      <w:r>
        <w:rPr>
          <w:rFonts w:hint="eastAsia" w:asciiTheme="minorEastAsia" w:hAnsiTheme="minorEastAsia" w:eastAsiaTheme="minorEastAsia" w:cstheme="minorEastAsia"/>
          <w:sz w:val="24"/>
          <w:szCs w:val="24"/>
          <w:highlight w:val="none"/>
          <w:lang w:eastAsia="zh-CN"/>
        </w:rPr>
        <w:t>不少于</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cstheme="minorEastAsia"/>
          <w:sz w:val="24"/>
          <w:szCs w:val="24"/>
          <w:highlight w:val="none"/>
          <w:u w:val="single"/>
          <w:lang w:val="en-US" w:eastAsia="zh-CN"/>
        </w:rPr>
        <w:t>4</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份</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   </w:t>
      </w:r>
    </w:p>
    <w:p w14:paraId="521DDFD8">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、有</w:t>
      </w:r>
      <w:r>
        <w:rPr>
          <w:rFonts w:hint="eastAsia" w:asciiTheme="minorEastAsia" w:hAnsiTheme="minorEastAsia" w:eastAsiaTheme="minorEastAsia" w:cstheme="minorEastAsia"/>
          <w:sz w:val="24"/>
          <w:szCs w:val="24"/>
          <w:highlight w:val="none"/>
        </w:rPr>
        <w:t>依法</w:t>
      </w:r>
      <w:r>
        <w:rPr>
          <w:rFonts w:hint="eastAsia" w:asciiTheme="minorEastAsia" w:hAnsiTheme="minorEastAsia" w:eastAsiaTheme="minorEastAsia" w:cstheme="minorEastAsia"/>
          <w:sz w:val="24"/>
          <w:szCs w:val="24"/>
          <w:highlight w:val="none"/>
          <w:lang w:eastAsia="zh-CN"/>
        </w:rPr>
        <w:t>缴纳</w:t>
      </w:r>
      <w:r>
        <w:rPr>
          <w:rFonts w:hint="eastAsia" w:asciiTheme="minorEastAsia" w:hAnsiTheme="minorEastAsia" w:eastAsiaTheme="minorEastAsia" w:cstheme="minorEastAsia"/>
          <w:sz w:val="24"/>
          <w:szCs w:val="24"/>
          <w:highlight w:val="none"/>
        </w:rPr>
        <w:t>税收和社会保障资金的良好记录,最近三年内没有发生骗取中标、严重违约等不良行为,没有处于被责令停业,财产被接管、冻结及破产状态,近三年内在经营活动中没有违法</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违规记录,且符合法律、行政法规规定的其他条件。</w:t>
      </w:r>
    </w:p>
    <w:p w14:paraId="767D650E">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具备</w:t>
      </w:r>
      <w:r>
        <w:rPr>
          <w:rFonts w:hint="eastAsia" w:asciiTheme="minorEastAsia" w:hAnsiTheme="minorEastAsia" w:cstheme="minorEastAsia"/>
          <w:sz w:val="24"/>
          <w:szCs w:val="24"/>
          <w:highlight w:val="none"/>
          <w:lang w:eastAsia="zh-CN"/>
        </w:rPr>
        <w:t>生产汽车衡及安装</w:t>
      </w:r>
      <w:r>
        <w:rPr>
          <w:rFonts w:hint="eastAsia" w:asciiTheme="minorEastAsia" w:hAnsiTheme="minorEastAsia" w:eastAsiaTheme="minorEastAsia" w:cstheme="minorEastAsia"/>
          <w:sz w:val="24"/>
          <w:szCs w:val="24"/>
          <w:highlight w:val="none"/>
        </w:rPr>
        <w:t>相关资质（行业资质、</w:t>
      </w:r>
      <w:r>
        <w:rPr>
          <w:rFonts w:hint="eastAsia" w:asciiTheme="minorEastAsia" w:hAnsiTheme="minorEastAsia" w:eastAsiaTheme="minorEastAsia" w:cstheme="minorEastAsia"/>
          <w:sz w:val="24"/>
          <w:szCs w:val="24"/>
          <w:highlight w:val="none"/>
          <w:lang w:eastAsia="zh-CN"/>
        </w:rPr>
        <w:t>施工资质、</w:t>
      </w:r>
      <w:r>
        <w:rPr>
          <w:rFonts w:hint="eastAsia" w:asciiTheme="minorEastAsia" w:hAnsiTheme="minorEastAsia" w:eastAsiaTheme="minorEastAsia" w:cstheme="minorEastAsia"/>
          <w:sz w:val="24"/>
          <w:szCs w:val="24"/>
          <w:highlight w:val="none"/>
        </w:rPr>
        <w:t>安全生产许可证等）</w:t>
      </w:r>
      <w:r>
        <w:rPr>
          <w:rFonts w:hint="eastAsia" w:asciiTheme="minorEastAsia" w:hAnsiTheme="minorEastAsia" w:eastAsiaTheme="minorEastAsia" w:cstheme="minorEastAsia"/>
          <w:sz w:val="24"/>
          <w:szCs w:val="24"/>
          <w:highlight w:val="none"/>
          <w:lang w:eastAsia="zh-CN"/>
        </w:rPr>
        <w:t>。</w:t>
      </w:r>
    </w:p>
    <w:p w14:paraId="66220DCD">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本项目不接受联合体投标。</w:t>
      </w:r>
    </w:p>
    <w:p w14:paraId="60392F59">
      <w:pPr>
        <w:numPr>
          <w:ilvl w:val="0"/>
          <w:numId w:val="0"/>
        </w:numPr>
        <w:spacing w:line="360" w:lineRule="auto"/>
        <w:rPr>
          <w:rFonts w:hint="eastAsia" w:asciiTheme="minorEastAsia" w:hAnsiTheme="minorEastAsia" w:eastAsiaTheme="minorEastAsia" w:cstheme="minorEastAsia"/>
          <w:sz w:val="24"/>
          <w:szCs w:val="24"/>
          <w:highlight w:val="none"/>
        </w:rPr>
      </w:pPr>
    </w:p>
    <w:p w14:paraId="249378B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四、询比文件获取 </w:t>
      </w:r>
    </w:p>
    <w:p w14:paraId="086C21E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1、获取时间</w:t>
      </w:r>
    </w:p>
    <w:p w14:paraId="1E20CD2D">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 2025年</w:t>
      </w:r>
      <w:r>
        <w:rPr>
          <w:rFonts w:hint="eastAsia" w:asciiTheme="minorEastAsia" w:hAnsi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highlight w:val="cyan"/>
          <w:lang w:val="en-US" w:eastAsia="zh-CN"/>
        </w:rPr>
        <w:t xml:space="preserve"> 21 </w:t>
      </w:r>
      <w:r>
        <w:rPr>
          <w:rFonts w:hint="eastAsia" w:asciiTheme="minorEastAsia" w:hAnsiTheme="minorEastAsia" w:eastAsiaTheme="minorEastAsia" w:cstheme="minorEastAsia"/>
          <w:sz w:val="24"/>
          <w:szCs w:val="24"/>
        </w:rPr>
        <w:t>日</w:t>
      </w: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:00至2025年</w:t>
      </w:r>
      <w:r>
        <w:rPr>
          <w:rFonts w:hint="eastAsia" w:asciiTheme="minorEastAsia" w:hAnsiTheme="minorEastAsia" w:cstheme="minorEastAsia"/>
          <w:sz w:val="24"/>
          <w:szCs w:val="24"/>
          <w:lang w:val="en-US" w:eastAsia="zh-CN"/>
        </w:rPr>
        <w:t xml:space="preserve"> 10</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highlight w:val="cyan"/>
          <w:lang w:val="en-US" w:eastAsia="zh-CN"/>
        </w:rPr>
        <w:t xml:space="preserve">  23 </w:t>
      </w:r>
      <w:r>
        <w:rPr>
          <w:rFonts w:hint="eastAsia" w:asciiTheme="minorEastAsia" w:hAnsiTheme="minorEastAsia" w:eastAsiaTheme="minorEastAsia" w:cstheme="minorEastAsia"/>
          <w:sz w:val="24"/>
          <w:szCs w:val="24"/>
        </w:rPr>
        <w:t>日</w:t>
      </w:r>
      <w:r>
        <w:rPr>
          <w:rFonts w:hint="eastAsia" w:asciiTheme="minorEastAsia" w:hAnsiTheme="minorEastAsia" w:cstheme="minorEastAsia"/>
          <w:sz w:val="24"/>
          <w:szCs w:val="24"/>
          <w:lang w:val="en-US" w:eastAsia="zh-CN"/>
        </w:rPr>
        <w:t>17</w:t>
      </w:r>
      <w:bookmarkStart w:id="0" w:name="_GoBack"/>
      <w:bookmarkEnd w:id="0"/>
      <w:r>
        <w:rPr>
          <w:rFonts w:hint="eastAsia" w:asciiTheme="minorEastAsia" w:hAnsiTheme="minorEastAsia" w:eastAsiaTheme="minorEastAsia" w:cstheme="minorEastAsia"/>
          <w:sz w:val="24"/>
          <w:szCs w:val="24"/>
        </w:rPr>
        <w:t>:00止(北京时间)。</w:t>
      </w:r>
    </w:p>
    <w:p w14:paraId="0D06CF8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2、获取方式</w:t>
      </w:r>
    </w:p>
    <w:p w14:paraId="68A8CC84">
      <w:pPr>
        <w:spacing w:line="360" w:lineRule="auto"/>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登录苏盐井神招标与采购管理平台（http://cgpt.jssyjsgf.com/home/login.htm），待审核通过后，下载询比文件参加采购活动。</w:t>
      </w:r>
    </w:p>
    <w:p w14:paraId="5E33F220">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w:t>
      </w:r>
      <w:r>
        <w:rPr>
          <w:rFonts w:hint="eastAsia" w:asciiTheme="minorEastAsia" w:hAnsiTheme="minorEastAsia" w:eastAsiaTheme="minorEastAsia" w:cstheme="minorEastAsia"/>
          <w:sz w:val="24"/>
          <w:szCs w:val="24"/>
        </w:rPr>
        <w:t>：详见苏盐井神招标与采购管理平台（http://cgpt.jssyjsgf.com/）苏盐井神招标与采购管理系统—供应商操作手册</w:t>
      </w:r>
      <w:r>
        <w:rPr>
          <w:rFonts w:hint="eastAsia" w:asciiTheme="minorEastAsia" w:hAnsiTheme="minorEastAsia" w:eastAsiaTheme="minorEastAsia" w:cstheme="minorEastAsia"/>
          <w:sz w:val="24"/>
          <w:szCs w:val="24"/>
          <w:lang w:eastAsia="zh-CN"/>
        </w:rPr>
        <w:t>。</w:t>
      </w:r>
    </w:p>
    <w:p w14:paraId="4CD288A2">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4F03479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五、响应文件递交 </w:t>
      </w:r>
    </w:p>
    <w:p w14:paraId="15DC0574">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报价文件递交截止时间：202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highlight w:val="cyan"/>
          <w:lang w:val="en-US" w:eastAsia="zh-CN"/>
        </w:rPr>
        <w:t xml:space="preserve"> </w:t>
      </w:r>
      <w:r>
        <w:rPr>
          <w:rFonts w:hint="eastAsia" w:asciiTheme="minorEastAsia" w:hAnsiTheme="minorEastAsia" w:cstheme="minorEastAsia"/>
          <w:sz w:val="24"/>
          <w:szCs w:val="24"/>
          <w:highlight w:val="cyan"/>
          <w:lang w:val="en-US" w:eastAsia="zh-CN"/>
        </w:rPr>
        <w:t xml:space="preserve">28 </w:t>
      </w:r>
      <w:r>
        <w:rPr>
          <w:rFonts w:hint="eastAsia" w:asciiTheme="minorEastAsia" w:hAnsiTheme="minorEastAsia" w:eastAsiaTheme="minorEastAsia" w:cstheme="minorEastAsia"/>
          <w:sz w:val="24"/>
          <w:szCs w:val="24"/>
          <w:highlight w:val="cyan"/>
          <w:lang w:val="en-US" w:eastAsia="zh-CN"/>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 xml:space="preserve"> 1</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时</w:t>
      </w:r>
      <w:r>
        <w:rPr>
          <w:rFonts w:hint="eastAsia" w:asciiTheme="minorEastAsia" w:hAnsiTheme="minorEastAsia" w:eastAsiaTheme="minorEastAsia" w:cstheme="minorEastAsia"/>
          <w:sz w:val="24"/>
          <w:szCs w:val="24"/>
          <w:lang w:val="en-US" w:eastAsia="zh-CN"/>
        </w:rPr>
        <w:t xml:space="preserve"> 00分</w:t>
      </w:r>
    </w:p>
    <w:p w14:paraId="60AF7232">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2、递交形式：电子文件（需加盖公章）。</w:t>
      </w:r>
    </w:p>
    <w:p w14:paraId="48284242">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3、电子文件</w:t>
      </w:r>
      <w:r>
        <w:rPr>
          <w:rFonts w:hint="eastAsia" w:asciiTheme="minorEastAsia" w:hAnsiTheme="minorEastAsia" w:eastAsiaTheme="minorEastAsia" w:cstheme="minorEastAsia"/>
          <w:sz w:val="24"/>
          <w:szCs w:val="24"/>
        </w:rPr>
        <w:t>递交</w:t>
      </w:r>
      <w:r>
        <w:rPr>
          <w:rFonts w:hint="eastAsia" w:asciiTheme="minorEastAsia" w:hAnsiTheme="minorEastAsia" w:eastAsiaTheme="minorEastAsia" w:cstheme="minorEastAsia"/>
          <w:sz w:val="24"/>
          <w:szCs w:val="24"/>
          <w:lang w:eastAsia="zh-CN"/>
        </w:rPr>
        <w:t>：</w:t>
      </w:r>
    </w:p>
    <w:p w14:paraId="63B6B797">
      <w:pPr>
        <w:spacing w:line="360" w:lineRule="auto"/>
        <w:ind w:firstLine="720" w:firstLineChars="3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登录苏盐井神招标与采购管理平台（http://cgpt.jssyjsgf.com/home/login.htm）</w:t>
      </w:r>
      <w:r>
        <w:rPr>
          <w:rFonts w:hint="eastAsia" w:asciiTheme="minorEastAsia" w:hAnsiTheme="minorEastAsia" w:eastAsiaTheme="minorEastAsia" w:cstheme="minorEastAsia"/>
          <w:sz w:val="24"/>
          <w:szCs w:val="24"/>
          <w:lang w:eastAsia="zh-CN"/>
        </w:rPr>
        <w:t>递交报价</w:t>
      </w:r>
      <w:r>
        <w:rPr>
          <w:rFonts w:hint="eastAsia" w:asciiTheme="minorEastAsia" w:hAnsiTheme="minorEastAsia" w:eastAsiaTheme="minorEastAsia" w:cstheme="minorEastAsia"/>
          <w:sz w:val="24"/>
          <w:szCs w:val="24"/>
        </w:rPr>
        <w:t>文件</w:t>
      </w:r>
      <w:r>
        <w:rPr>
          <w:rFonts w:hint="eastAsia" w:asciiTheme="minorEastAsia" w:hAnsiTheme="minorEastAsia" w:eastAsiaTheme="minorEastAsia" w:cstheme="minorEastAsia"/>
          <w:sz w:val="24"/>
          <w:szCs w:val="24"/>
          <w:lang w:eastAsia="zh-CN"/>
        </w:rPr>
        <w:t>。</w:t>
      </w:r>
    </w:p>
    <w:p w14:paraId="7CB4C97E">
      <w:pPr>
        <w:spacing w:line="360" w:lineRule="auto"/>
        <w:rPr>
          <w:rFonts w:hint="eastAsia" w:asciiTheme="minorEastAsia" w:hAnsiTheme="minorEastAsia" w:eastAsiaTheme="minorEastAsia" w:cstheme="minorEastAsia"/>
          <w:sz w:val="24"/>
          <w:szCs w:val="24"/>
          <w:lang w:val="en-US" w:eastAsia="zh-CN"/>
        </w:rPr>
      </w:pPr>
    </w:p>
    <w:p w14:paraId="2DED3DBD">
      <w:pPr>
        <w:spacing w:line="360" w:lineRule="auto"/>
        <w:rPr>
          <w:rFonts w:hint="eastAsia" w:asciiTheme="minorEastAsia" w:hAnsiTheme="minorEastAsia" w:eastAsiaTheme="minorEastAsia" w:cstheme="minorEastAsia"/>
          <w:sz w:val="24"/>
          <w:szCs w:val="24"/>
        </w:rPr>
      </w:pPr>
    </w:p>
    <w:p w14:paraId="431C284F">
      <w:pPr>
        <w:spacing w:line="360" w:lineRule="auto"/>
        <w:rPr>
          <w:rFonts w:hint="eastAsia" w:asciiTheme="minorEastAsia" w:hAnsiTheme="minorEastAsia" w:eastAsiaTheme="minorEastAsia" w:cstheme="minorEastAsia"/>
          <w:sz w:val="24"/>
          <w:szCs w:val="24"/>
        </w:rPr>
      </w:pPr>
    </w:p>
    <w:p w14:paraId="36059CBE">
      <w:pPr>
        <w:spacing w:line="360" w:lineRule="auto"/>
        <w:ind w:firstLine="4800" w:firstLineChars="2000"/>
        <w:rPr>
          <w:rFonts w:hint="eastAsia" w:asciiTheme="minorEastAsia" w:hAnsiTheme="minorEastAsia" w:eastAsiaTheme="minorEastAsia" w:cstheme="minorEastAsia"/>
          <w:sz w:val="24"/>
          <w:szCs w:val="24"/>
        </w:rPr>
      </w:pPr>
    </w:p>
    <w:p w14:paraId="493BD44A">
      <w:pPr>
        <w:spacing w:line="360" w:lineRule="auto"/>
        <w:ind w:firstLine="4080" w:firstLineChars="1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w:t>
      </w:r>
      <w:r>
        <w:rPr>
          <w:rFonts w:hint="eastAsia" w:asciiTheme="minorEastAsia" w:hAnsiTheme="minorEastAsia" w:eastAsiaTheme="minorEastAsia" w:cstheme="minorEastAsia"/>
          <w:sz w:val="24"/>
          <w:szCs w:val="24"/>
          <w:lang w:eastAsia="zh-CN"/>
        </w:rPr>
        <w:t>苏盐井神采供中心</w:t>
      </w:r>
      <w:r>
        <w:rPr>
          <w:rFonts w:hint="eastAsia" w:asciiTheme="minorEastAsia" w:hAnsiTheme="minorEastAsia" w:eastAsiaTheme="minorEastAsia" w:cstheme="minorEastAsia"/>
          <w:sz w:val="24"/>
          <w:szCs w:val="24"/>
        </w:rPr>
        <w:t xml:space="preserve">  </w:t>
      </w:r>
    </w:p>
    <w:p w14:paraId="760D5B15">
      <w:pPr>
        <w:spacing w:line="360" w:lineRule="auto"/>
        <w:ind w:firstLine="2160" w:firstLineChars="900"/>
        <w:rPr>
          <w:rFonts w:hint="eastAsia" w:asciiTheme="minorEastAsia" w:hAnsiTheme="minorEastAsia" w:eastAsiaTheme="minorEastAsia" w:cstheme="minorEastAsia"/>
          <w:sz w:val="24"/>
          <w:szCs w:val="24"/>
        </w:rPr>
      </w:pPr>
    </w:p>
    <w:p w14:paraId="7080350B">
      <w:pPr>
        <w:spacing w:line="360" w:lineRule="auto"/>
        <w:ind w:firstLine="4080" w:firstLineChars="1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10</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17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 </w:t>
      </w:r>
    </w:p>
    <w:p w14:paraId="040391A9">
      <w:pPr>
        <w:spacing w:line="360" w:lineRule="auto"/>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022B48FA"/>
    <w:rsid w:val="05643E63"/>
    <w:rsid w:val="064F5F6D"/>
    <w:rsid w:val="0939527C"/>
    <w:rsid w:val="0A36042B"/>
    <w:rsid w:val="0A791B11"/>
    <w:rsid w:val="0C8B67F2"/>
    <w:rsid w:val="0D1B14CE"/>
    <w:rsid w:val="10E5243E"/>
    <w:rsid w:val="154B2918"/>
    <w:rsid w:val="16AB0714"/>
    <w:rsid w:val="19794CEF"/>
    <w:rsid w:val="1B865C8A"/>
    <w:rsid w:val="1FBF4AFA"/>
    <w:rsid w:val="20B266E5"/>
    <w:rsid w:val="227B2F82"/>
    <w:rsid w:val="23A37855"/>
    <w:rsid w:val="288C5D5E"/>
    <w:rsid w:val="28B449F1"/>
    <w:rsid w:val="2A7B4DFE"/>
    <w:rsid w:val="2AE51564"/>
    <w:rsid w:val="2F4A2072"/>
    <w:rsid w:val="33185E3B"/>
    <w:rsid w:val="35201C4F"/>
    <w:rsid w:val="35436267"/>
    <w:rsid w:val="35D97E9B"/>
    <w:rsid w:val="35DF135B"/>
    <w:rsid w:val="3C0E0615"/>
    <w:rsid w:val="3C13270A"/>
    <w:rsid w:val="3DDD102E"/>
    <w:rsid w:val="3DE6740A"/>
    <w:rsid w:val="3E0B0191"/>
    <w:rsid w:val="405A218A"/>
    <w:rsid w:val="41033B10"/>
    <w:rsid w:val="43B03D0B"/>
    <w:rsid w:val="47214705"/>
    <w:rsid w:val="4764153E"/>
    <w:rsid w:val="48155146"/>
    <w:rsid w:val="4858591B"/>
    <w:rsid w:val="49A12D98"/>
    <w:rsid w:val="49C83133"/>
    <w:rsid w:val="4AFC779B"/>
    <w:rsid w:val="4B192897"/>
    <w:rsid w:val="4F4B0BF3"/>
    <w:rsid w:val="503A6E8E"/>
    <w:rsid w:val="51E1554A"/>
    <w:rsid w:val="533C054C"/>
    <w:rsid w:val="53503204"/>
    <w:rsid w:val="53E41AB0"/>
    <w:rsid w:val="559E51B8"/>
    <w:rsid w:val="5F8611E8"/>
    <w:rsid w:val="616805DA"/>
    <w:rsid w:val="63212F2A"/>
    <w:rsid w:val="64B106D2"/>
    <w:rsid w:val="652476D3"/>
    <w:rsid w:val="65582C38"/>
    <w:rsid w:val="68AC1B53"/>
    <w:rsid w:val="690D4A26"/>
    <w:rsid w:val="6B3F1607"/>
    <w:rsid w:val="742541D3"/>
    <w:rsid w:val="75BD7541"/>
    <w:rsid w:val="7C057577"/>
    <w:rsid w:val="7DB232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rFonts w:ascii="Times New Roman" w:hAnsi="Times New Roman"/>
      <w:szCs w:val="20"/>
    </w:rPr>
  </w:style>
  <w:style w:type="paragraph" w:styleId="3">
    <w:name w:val="toc 2"/>
    <w:basedOn w:val="1"/>
    <w:next w:val="1"/>
    <w:qFormat/>
    <w:uiPriority w:val="1"/>
    <w:pPr>
      <w:spacing w:line="272" w:lineRule="exact"/>
      <w:ind w:left="520"/>
    </w:pPr>
    <w:rPr>
      <w:sz w:val="21"/>
      <w:szCs w:val="21"/>
    </w:rPr>
  </w:style>
  <w:style w:type="paragraph" w:styleId="4">
    <w:name w:val="Title"/>
    <w:basedOn w:val="3"/>
    <w:next w:val="1"/>
    <w:qFormat/>
    <w:uiPriority w:val="0"/>
    <w:pPr>
      <w:jc w:val="center"/>
    </w:pPr>
    <w:rPr>
      <w:rFonts w:ascii="Lucida Console" w:hAnsi="Lucida Console"/>
      <w:b/>
      <w:bCs/>
      <w:color w:val="FF0000"/>
    </w:rPr>
  </w:style>
  <w:style w:type="character" w:customStyle="1" w:styleId="7">
    <w:name w:val="font11"/>
    <w:basedOn w:val="6"/>
    <w:qFormat/>
    <w:uiPriority w:val="0"/>
    <w:rPr>
      <w:rFonts w:hint="eastAsia" w:ascii="宋体" w:hAnsi="宋体" w:eastAsia="宋体" w:cs="宋体"/>
      <w:color w:val="000000"/>
      <w:sz w:val="18"/>
      <w:szCs w:val="18"/>
      <w:u w:val="none"/>
    </w:rPr>
  </w:style>
  <w:style w:type="character" w:customStyle="1" w:styleId="8">
    <w:name w:val="font31"/>
    <w:basedOn w:val="6"/>
    <w:qFormat/>
    <w:uiPriority w:val="0"/>
    <w:rPr>
      <w:rFonts w:hint="eastAsia" w:ascii="宋体" w:hAnsi="宋体" w:eastAsia="宋体" w:cs="宋体"/>
      <w:color w:val="000000"/>
      <w:sz w:val="20"/>
      <w:szCs w:val="20"/>
      <w:u w:val="none"/>
    </w:rPr>
  </w:style>
  <w:style w:type="character" w:customStyle="1" w:styleId="9">
    <w:name w:val="font71"/>
    <w:basedOn w:val="6"/>
    <w:qFormat/>
    <w:uiPriority w:val="0"/>
    <w:rPr>
      <w:rFonts w:hint="eastAsia" w:ascii="仿宋" w:hAnsi="仿宋" w:eastAsia="仿宋" w:cs="仿宋"/>
      <w:color w:val="000000"/>
      <w:sz w:val="20"/>
      <w:szCs w:val="20"/>
      <w:u w:val="none"/>
    </w:rPr>
  </w:style>
  <w:style w:type="paragraph" w:customStyle="1" w:styleId="10">
    <w:name w:val="正文文本1"/>
    <w:basedOn w:val="1"/>
    <w:qFormat/>
    <w:uiPriority w:val="0"/>
    <w:pPr>
      <w:spacing w:line="420" w:lineRule="auto"/>
      <w:ind w:firstLine="400"/>
    </w:pPr>
    <w:rPr>
      <w:rFonts w:ascii="宋体" w:hAnsi="宋体" w:eastAsia="宋体" w:cs="宋体"/>
      <w:sz w:val="20"/>
      <w:szCs w:val="20"/>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1283</Words>
  <Characters>1447</Characters>
  <Lines>0</Lines>
  <Paragraphs>0</Paragraphs>
  <TotalTime>75</TotalTime>
  <ScaleCrop>false</ScaleCrop>
  <LinksUpToDate>false</LinksUpToDate>
  <CharactersWithSpaces>1527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Administrator</cp:lastModifiedBy>
  <dcterms:modified xsi:type="dcterms:W3CDTF">2025-10-20T09:18:55Z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59AB83DBCA8B4AF38E88133DFF0988E5_13</vt:lpwstr>
  </property>
  <property fmtid="{D5CDD505-2E9C-101B-9397-08002B2CF9AE}" pid="4" name="KSOTemplateDocerSaveRecord">
    <vt:lpwstr>eyJoZGlkIjoiZDVkMDc2ZTA0NThhYWQyNzYyMGU5ZTQ4YjEyOWI5ZDYifQ==</vt:lpwstr>
  </property>
</Properties>
</file>