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00" w:lineRule="auto"/>
        <w:rPr>
          <w:rFonts w:hint="default" w:ascii="Times New Roman" w:hAnsi="Times New Roman" w:cs="Times New Roman" w:eastAsiaTheme="minorEastAsia"/>
          <w:color w:val="auto"/>
          <w:sz w:val="24"/>
          <w:lang w:val="en-US" w:eastAsia="zh-CN"/>
        </w:rPr>
      </w:pPr>
      <w:r>
        <w:rPr>
          <w:rFonts w:hint="eastAsia" w:ascii="Times New Roman" w:hAnsi="Times New Roman" w:cs="Times New Roman"/>
          <w:color w:val="auto"/>
          <w:sz w:val="24"/>
          <w:lang w:val="en-US" w:eastAsia="zh-CN"/>
        </w:rPr>
        <w:t>PP20240305</w:t>
      </w: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pStyle w:val="2"/>
        <w:rPr>
          <w:rFonts w:hint="default"/>
          <w:color w:val="auto"/>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jc w:val="center"/>
        <w:outlineLvl w:val="0"/>
        <w:rPr>
          <w:rFonts w:hint="eastAsia" w:ascii="方正黑体_GBK" w:hAnsi="方正黑体_GBK" w:eastAsia="方正黑体_GBK" w:cs="方正黑体_GBK"/>
          <w:color w:val="auto"/>
          <w:sz w:val="44"/>
        </w:rPr>
      </w:pPr>
      <w:r>
        <w:rPr>
          <w:rFonts w:hint="eastAsia" w:ascii="方正黑体_GBK" w:hAnsi="方正黑体_GBK" w:eastAsia="方正黑体_GBK" w:cs="方正黑体_GBK"/>
          <w:color w:val="auto"/>
          <w:sz w:val="44"/>
          <w:u w:val="single"/>
        </w:rPr>
        <w:t>“淮盐”品牌策划设计项目</w:t>
      </w:r>
      <w:r>
        <w:rPr>
          <w:rFonts w:hint="eastAsia" w:ascii="方正黑体_GBK" w:hAnsi="方正黑体_GBK" w:eastAsia="方正黑体_GBK" w:cs="方正黑体_GBK"/>
          <w:color w:val="auto"/>
          <w:sz w:val="44"/>
        </w:rPr>
        <w:t>采购文件</w:t>
      </w:r>
    </w:p>
    <w:p>
      <w:pPr>
        <w:adjustRightInd w:val="0"/>
        <w:snapToGrid w:val="0"/>
        <w:spacing w:line="300" w:lineRule="auto"/>
        <w:rPr>
          <w:rFonts w:hint="default" w:ascii="Times New Roman" w:hAnsi="Times New Roman" w:eastAsia="黑体" w:cs="Times New Roman"/>
          <w:color w:val="auto"/>
          <w:sz w:val="4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cs="Times New Roman"/>
          <w:color w:val="auto"/>
          <w:sz w:val="24"/>
          <w:u w:val="single"/>
        </w:rPr>
      </w:pPr>
      <w:r>
        <w:rPr>
          <w:rFonts w:hint="default" w:ascii="Times New Roman" w:hAnsi="Times New Roman" w:cs="Times New Roman"/>
          <w:color w:val="auto"/>
          <w:sz w:val="24"/>
        </w:rPr>
        <w:t>采购人：</w:t>
      </w:r>
      <w:r>
        <w:rPr>
          <w:rFonts w:hint="default" w:ascii="Times New Roman" w:hAnsi="Times New Roman" w:cs="Times New Roman"/>
          <w:color w:val="auto"/>
          <w:sz w:val="24"/>
          <w:u w:val="single"/>
        </w:rPr>
        <w:t xml:space="preserve"> 江苏苏盐井神股份有限公司</w:t>
      </w:r>
    </w:p>
    <w:p>
      <w:pPr>
        <w:adjustRightInd w:val="0"/>
        <w:snapToGrid w:val="0"/>
        <w:spacing w:line="300" w:lineRule="auto"/>
        <w:ind w:firstLine="2880" w:firstLineChars="1200"/>
        <w:rPr>
          <w:rFonts w:hint="default" w:ascii="Times New Roman" w:hAnsi="Times New Roman" w:cs="Times New Roman"/>
          <w:color w:val="auto"/>
          <w:sz w:val="24"/>
        </w:rPr>
      </w:pPr>
      <w:r>
        <w:rPr>
          <w:rFonts w:hint="default" w:ascii="Times New Roman" w:hAnsi="Times New Roman" w:cs="Times New Roman"/>
          <w:color w:val="auto"/>
          <w:sz w:val="24"/>
          <w:u w:val="single"/>
        </w:rPr>
        <w:t xml:space="preserve"> 2024 </w:t>
      </w:r>
      <w:r>
        <w:rPr>
          <w:rFonts w:hint="default" w:ascii="Times New Roman" w:hAnsi="Times New Roman" w:cs="Times New Roman"/>
          <w:color w:val="auto"/>
          <w:sz w:val="24"/>
        </w:rPr>
        <w:t>年</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3</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月</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5</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日</w:t>
      </w:r>
    </w:p>
    <w:p>
      <w:pPr>
        <w:adjustRightInd w:val="0"/>
        <w:snapToGrid w:val="0"/>
        <w:spacing w:line="300" w:lineRule="auto"/>
        <w:jc w:val="center"/>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cs="Times New Roman"/>
          <w:color w:val="auto"/>
          <w:sz w:val="24"/>
        </w:rPr>
      </w:pPr>
    </w:p>
    <w:p>
      <w:pPr>
        <w:adjustRightInd w:val="0"/>
        <w:snapToGrid w:val="0"/>
        <w:spacing w:line="300" w:lineRule="auto"/>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目录</w:t>
      </w:r>
    </w:p>
    <w:p>
      <w:pPr>
        <w:pStyle w:val="2"/>
        <w:rPr>
          <w:rFonts w:hint="default" w:ascii="Times New Roman" w:hAnsi="Times New Roman" w:cs="Times New Roman"/>
          <w:color w:val="auto"/>
        </w:rPr>
      </w:pPr>
    </w:p>
    <w:p>
      <w:pPr>
        <w:adjustRightInd w:val="0"/>
        <w:snapToGrid w:val="0"/>
        <w:spacing w:line="300" w:lineRule="auto"/>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第一章  采购公告</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第二章  采购需求</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第三章  供应商须知</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第四章  采购方法 </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第五章  评审办法</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第六章  合同草案</w:t>
      </w:r>
    </w:p>
    <w:p>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第七章  响应文件组成及格式附件</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 xml:space="preserve">第一章 </w:t>
      </w:r>
      <w:bookmarkStart w:id="0" w:name="_GoBack"/>
      <w:r>
        <w:rPr>
          <w:rFonts w:hint="default" w:ascii="Times New Roman" w:hAnsi="Times New Roman" w:eastAsia="方正小标宋_GBK" w:cs="Times New Roman"/>
          <w:color w:val="auto"/>
          <w:sz w:val="44"/>
          <w:szCs w:val="44"/>
          <w:lang w:val="en-US" w:eastAsia="zh-CN"/>
        </w:rPr>
        <w:t>采购公告</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仿宋_GBK" w:cs="Times New Roman"/>
          <w:color w:val="auto"/>
          <w:sz w:val="32"/>
          <w:szCs w:val="32"/>
          <w:u w:val="single"/>
        </w:rPr>
      </w:pP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黑体_GBK" w:cs="Times New Roman"/>
          <w:color w:val="auto"/>
          <w:sz w:val="32"/>
          <w:szCs w:val="32"/>
          <w:u w:val="single"/>
        </w:rPr>
      </w:pPr>
      <w:r>
        <w:rPr>
          <w:rFonts w:hint="default" w:ascii="Times New Roman" w:hAnsi="Times New Roman" w:eastAsia="方正黑体_GBK" w:cs="Times New Roman"/>
          <w:color w:val="auto"/>
          <w:sz w:val="32"/>
          <w:szCs w:val="32"/>
          <w:u w:val="single"/>
        </w:rPr>
        <w:t>“淮盐”品牌策划设计项目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1、采购条件和方法</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1.1采购条件</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“淮盐”品牌策划设计项目</w:t>
      </w:r>
      <w:r>
        <w:rPr>
          <w:rFonts w:hint="default" w:ascii="Times New Roman" w:hAnsi="Times New Roman" w:eastAsia="方正仿宋_GBK" w:cs="Times New Roman"/>
          <w:color w:val="auto"/>
          <w:sz w:val="32"/>
          <w:szCs w:val="32"/>
        </w:rPr>
        <w:t>已具备采购条件，现对该服务项目实施竞争性磋商采购活动，公开邀请合格供应商参加本项目采购竞争。</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1.2采购方法</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u w:val="none"/>
        </w:rPr>
      </w:pPr>
      <w:r>
        <w:rPr>
          <w:rFonts w:hint="default" w:ascii="Times New Roman" w:hAnsi="Times New Roman" w:eastAsia="方正仿宋_GBK" w:cs="Times New Roman"/>
          <w:color w:val="auto"/>
          <w:sz w:val="32"/>
          <w:szCs w:val="32"/>
          <w:u w:val="none"/>
        </w:rPr>
        <w:t>竞争磋商采购</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2、采购内容和范围</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2.1本项目采购内容和范围：</w:t>
      </w:r>
      <w:r>
        <w:rPr>
          <w:rFonts w:hint="default" w:ascii="Times New Roman" w:hAnsi="Times New Roman" w:eastAsia="方正仿宋_GBK" w:cs="Times New Roman"/>
          <w:color w:val="auto"/>
          <w:sz w:val="32"/>
          <w:szCs w:val="32"/>
          <w:lang w:val="en-US" w:eastAsia="zh-CN"/>
        </w:rPr>
        <w:t>淮盐品牌价值系统、形象系统和产品包装设计系统，</w:t>
      </w:r>
      <w:r>
        <w:rPr>
          <w:rFonts w:hint="default" w:ascii="Times New Roman" w:hAnsi="Times New Roman" w:eastAsia="方正仿宋_GBK" w:cs="Times New Roman"/>
          <w:color w:val="auto"/>
          <w:sz w:val="32"/>
          <w:szCs w:val="32"/>
        </w:rPr>
        <w:t>详见采购需求。</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2.2项目服务时间:自合同签订之日起</w:t>
      </w:r>
      <w:r>
        <w:rPr>
          <w:rFonts w:hint="default" w:ascii="Times New Roman" w:hAnsi="Times New Roman"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0</w:t>
      </w:r>
      <w:r>
        <w:rPr>
          <w:rFonts w:hint="eastAsia" w:ascii="Times New Roman" w:hAnsi="Times New Roman" w:eastAsia="方正仿宋_GBK" w:cs="Times New Roman"/>
          <w:color w:val="auto"/>
          <w:sz w:val="32"/>
          <w:szCs w:val="32"/>
          <w:lang w:val="en-US" w:eastAsia="zh-CN"/>
        </w:rPr>
        <w:t>个工作日</w:t>
      </w:r>
      <w:r>
        <w:rPr>
          <w:rFonts w:hint="default" w:ascii="Times New Roman" w:hAnsi="Times New Roman" w:eastAsia="方正仿宋_GBK" w:cs="Times New Roman"/>
          <w:color w:val="auto"/>
          <w:sz w:val="32"/>
          <w:szCs w:val="32"/>
        </w:rPr>
        <w:t>内提交最终成果文件。</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2.3服务地点:位于江苏省及国内部分重点城市。</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2.4报价要求:最高限价180万元。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3、供应商资格要求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3.1供应商资格要求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（1）供应商应当具有独立承担民事责任和履行合同的能力。</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（2）供应商近五年（2019年1月1日至今，以合同签订时间为准）应当具有承接过同类项目的业绩。</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（3）供应商在人员、专业技术、设备、资金等方面具有履行合同所必需的能力；中标后不得分包与转包。</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（4）供应商须为中华人民共和国境内登记注册的企业（事业）法人或非法人组织，未被列入中国执行信息公开网（http://zxgk.court.gov.cn/shixin/）“失信被执行人名单”。</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3.2供应商不得存在下列情形之一</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（1）与本项目其他供应商的单位负责人为同一人。</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（2）与本项目其他供应商存在直接控股关系。</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（3）与本项目其他供应商存在管理关系。</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（4）根据公司供应商管理要求，被禁止参与采购活动且处于有效期内的。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3.3本次采购不接受代理商、经销商和联合体参加采购活动。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4、采购文件的获取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4.1采购文件及相关资料在苏盐井神招标中心官网（http://zbzx.jsjsyh.com/）下载，如确定参加，请在2024年</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10</w:t>
      </w:r>
      <w:r>
        <w:rPr>
          <w:rFonts w:hint="default" w:ascii="Times New Roman" w:hAnsi="Times New Roman" w:eastAsia="方正仿宋_GBK" w:cs="Times New Roman"/>
          <w:color w:val="auto"/>
          <w:sz w:val="32"/>
          <w:szCs w:val="32"/>
        </w:rPr>
        <w:t>日17:00前填写好《响应确认函》(格式见采购文件最后一页）并发送至</w:t>
      </w:r>
      <w:r>
        <w:rPr>
          <w:rFonts w:hint="default" w:ascii="Times New Roman" w:hAnsi="Times New Roman" w:eastAsia="方正仿宋_GBK" w:cs="Times New Roman"/>
          <w:color w:val="auto"/>
          <w:sz w:val="32"/>
          <w:szCs w:val="32"/>
          <w:lang w:val="en-US" w:eastAsia="zh-CN"/>
        </w:rPr>
        <w:t>1813031099@qq.com</w:t>
      </w:r>
      <w:r>
        <w:rPr>
          <w:rFonts w:hint="default" w:ascii="Times New Roman" w:hAnsi="Times New Roman" w:eastAsia="方正仿宋_GBK" w:cs="Times New Roman"/>
          <w:color w:val="auto"/>
          <w:sz w:val="32"/>
          <w:szCs w:val="32"/>
        </w:rPr>
        <w:t>邮箱，同时需得到采购人确认收到的回复。</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4.2未发送《响应确认函》、逾期发送《响应确认函》、未得到采购人确认收到的回复的供应商不得参加。</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4.3有关本次采购的事项若存在变动或修改，敬请及时关注“苏盐井神招标中心官网（http://zbzx.jsjsyh.com/）”发布的信息或更正公告。</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4.4如供应商未按上述要求</w:t>
      </w:r>
      <w:r>
        <w:rPr>
          <w:rFonts w:hint="default" w:ascii="Times New Roman" w:hAnsi="Times New Roman" w:eastAsia="方正仿宋_GBK" w:cs="Times New Roman"/>
          <w:color w:val="auto"/>
          <w:sz w:val="32"/>
          <w:szCs w:val="32"/>
          <w:lang w:val="en-US" w:eastAsia="zh-CN"/>
        </w:rPr>
        <w:t>执行</w:t>
      </w:r>
      <w:r>
        <w:rPr>
          <w:rFonts w:hint="default" w:ascii="Times New Roman" w:hAnsi="Times New Roman" w:eastAsia="方正仿宋_GBK" w:cs="Times New Roman"/>
          <w:color w:val="auto"/>
          <w:sz w:val="32"/>
          <w:szCs w:val="32"/>
        </w:rPr>
        <w:t>，将自行承担所产生的风险。</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5、响应文件的递交</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rPr>
        <w:t>5.1响应文件现场递交开始接收时间：2024年</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10</w:t>
      </w:r>
      <w:r>
        <w:rPr>
          <w:rFonts w:hint="default" w:ascii="Times New Roman" w:hAnsi="Times New Roman" w:eastAsia="方正仿宋_GBK" w:cs="Times New Roman"/>
          <w:color w:val="auto"/>
          <w:sz w:val="32"/>
          <w:szCs w:val="32"/>
        </w:rPr>
        <w:t>日</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响应文件接收截止时间（邮寄方式的以快递实际到达时间为准）：2024年</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16</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eastAsia="zh-CN"/>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5.2响应文件递交地点： </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响应文件</w:t>
      </w:r>
      <w:r>
        <w:rPr>
          <w:rFonts w:hint="default" w:ascii="Times New Roman" w:hAnsi="Times New Roman" w:eastAsia="方正仿宋_GBK" w:cs="Times New Roman"/>
          <w:color w:val="auto"/>
          <w:sz w:val="32"/>
          <w:szCs w:val="32"/>
          <w:lang w:val="en-US" w:eastAsia="zh-CN"/>
        </w:rPr>
        <w:t>递交</w:t>
      </w:r>
      <w:r>
        <w:rPr>
          <w:rFonts w:hint="default" w:ascii="Times New Roman" w:hAnsi="Times New Roman" w:eastAsia="方正仿宋_GBK" w:cs="Times New Roman"/>
          <w:color w:val="auto"/>
          <w:sz w:val="32"/>
          <w:szCs w:val="32"/>
        </w:rPr>
        <w:t>地址：江苏省淮安市淮安区华西路18号苏盐井神大楼9楼</w:t>
      </w:r>
      <w:r>
        <w:rPr>
          <w:rFonts w:hint="eastAsia" w:eastAsia="方正仿宋_GBK" w:cs="Times New Roman"/>
          <w:color w:val="auto"/>
          <w:sz w:val="32"/>
          <w:szCs w:val="32"/>
          <w:lang w:eastAsia="zh-CN"/>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收件人：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联系电话：18205036976                 </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注：如邮寄的，在包裹外包装面注明项目编号。</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5.3逾期送达的或者未送达（邮寄）指定地点的响应文件，采购人不予受理。</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6、其他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6.1磋商时间：2024年</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20</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上午10:30</w:t>
      </w:r>
      <w:r>
        <w:rPr>
          <w:rFonts w:hint="eastAsia" w:eastAsia="方正仿宋_GBK" w:cs="Times New Roman"/>
          <w:color w:val="auto"/>
          <w:sz w:val="32"/>
          <w:szCs w:val="32"/>
          <w:lang w:eastAsia="zh-CN"/>
        </w:rPr>
        <w:t>（</w:t>
      </w:r>
      <w:r>
        <w:rPr>
          <w:rFonts w:hint="eastAsia" w:eastAsia="方正仿宋_GBK" w:cs="Times New Roman"/>
          <w:color w:val="auto"/>
          <w:sz w:val="32"/>
          <w:szCs w:val="32"/>
          <w:lang w:val="en-US" w:eastAsia="zh-CN"/>
        </w:rPr>
        <w:t>如调整，另行通知</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 xml:space="preserve">    </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default" w:ascii="Times New Roman" w:hAnsi="Times New Roman" w:eastAsia="方正仿宋_GBK" w:cs="Times New Roman"/>
          <w:color w:val="auto"/>
          <w:sz w:val="32"/>
          <w:szCs w:val="32"/>
        </w:rPr>
        <w:t>6.2磋商地点：江苏省淮安市淮安区井神路1号苏盐井神招标中心开标室</w:t>
      </w:r>
      <w:r>
        <w:rPr>
          <w:rFonts w:hint="eastAsia" w:eastAsia="方正仿宋_GBK" w:cs="Times New Roman"/>
          <w:color w:val="auto"/>
          <w:sz w:val="32"/>
          <w:szCs w:val="32"/>
          <w:lang w:eastAsia="zh-CN"/>
        </w:rPr>
        <w:t>。</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7、联系方式</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联系人：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联系电话：18205036976</w:t>
      </w:r>
    </w:p>
    <w:bookmarkEnd w:id="0"/>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第二章 采购需求</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1、项目背景及需求概况</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近年来，随着中国盐业深化改革，市场全面放开，中国盐行业进入了全面市场化、产业化、品牌化的竞争时代，苏盐井神公司作为国内大型知名盐业企业，承担着保障食盐供应、推动盐业转型升级的重要使命。为积极响应党的二十大报告“深化国资国企改革，加快国有经济布局优化和结构调整，推动国有资本和国有企业做强做优做大，提升企业核心竞争力”的要求，大力实施增品种、提品质、创品牌的三品战略，根据“全面建设全国盐行业高质量发展典范企业”的发展战略目标，致力于打造“淮盐”食盐品牌，聚焦“淮盐”为食盐业务主品牌，构建以全国市场为导向下的营销布局，结合以重点区域为导向下的品牌发展布局，形成市场与品牌“双向驱动”的发展策略，逐步实现淮盐品牌从长三角到沿海城市再到中西部的全国发展布局。通过品牌化发展，提升淮盐品牌与市场影响力和市场占有率，巩固淮盐在中国食盐前三知名品牌地位以及在特殊市场保二的品牌发展目标，推动企业高质量发展。为此，决定开展“淮盐”品牌价值体系形象体系和产品体系策划设计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2、服务内容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2.1策划“淮盐”品牌价值系统。包括品牌定位、核心价值卖点、品牌个性、品牌口号、品牌故事等。</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2.2设计“淮盐”品牌形象系统。包括品牌形象创意设计、品牌基础元素设计规范以及各场景品牌形象应用设计规范等。</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2.3设计“淮盐”品牌产品包装设计系统，包括现有和拟调整的全部各业务产品、各功能产品、各大小包装风格设计。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3、服务时间</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自合同签订之日起</w:t>
      </w:r>
      <w:r>
        <w:rPr>
          <w:rFonts w:hint="default" w:ascii="Times New Roman" w:hAnsi="Times New Roman"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0</w:t>
      </w:r>
      <w:r>
        <w:rPr>
          <w:rFonts w:hint="eastAsia" w:eastAsia="方正仿宋_GBK" w:cs="Times New Roman"/>
          <w:color w:val="auto"/>
          <w:sz w:val="32"/>
          <w:szCs w:val="32"/>
          <w:lang w:val="en-US" w:eastAsia="zh-CN"/>
        </w:rPr>
        <w:t>个工作日</w:t>
      </w:r>
      <w:r>
        <w:rPr>
          <w:rFonts w:hint="default" w:ascii="Times New Roman" w:hAnsi="Times New Roman" w:eastAsia="方正仿宋_GBK" w:cs="Times New Roman"/>
          <w:color w:val="auto"/>
          <w:sz w:val="32"/>
          <w:szCs w:val="32"/>
        </w:rPr>
        <w:t>内提交最终成果文件。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4、报价需求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最高限价 180万元。</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5、服务地点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江苏省及国内部分重点城市。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6、服务成果要求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通过充分调研分析诊断，策划设计“淮盐”品牌价值系统、形象系统、产品包装设计系统，需符合国际一流盐行业发展要求、企业整体发展战略目标和“淮盐”品牌发展策略和发展目标。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7、技术要求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符合国家</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行业</w:t>
      </w:r>
      <w:r>
        <w:rPr>
          <w:rFonts w:hint="default" w:ascii="Times New Roman" w:hAnsi="Times New Roman" w:eastAsia="方正仿宋_GBK" w:cs="Times New Roman"/>
          <w:color w:val="auto"/>
          <w:sz w:val="32"/>
          <w:szCs w:val="32"/>
          <w:lang w:val="en-US" w:eastAsia="zh-CN"/>
        </w:rPr>
        <w:t>及采购人</w:t>
      </w:r>
      <w:r>
        <w:rPr>
          <w:rFonts w:hint="default" w:ascii="Times New Roman" w:hAnsi="Times New Roman" w:eastAsia="方正仿宋_GBK" w:cs="Times New Roman"/>
          <w:color w:val="auto"/>
          <w:sz w:val="32"/>
          <w:szCs w:val="32"/>
        </w:rPr>
        <w:t>相关标准</w:t>
      </w:r>
      <w:r>
        <w:rPr>
          <w:rFonts w:hint="default" w:ascii="Times New Roman" w:hAnsi="Times New Roman" w:eastAsia="方正仿宋_GBK" w:cs="Times New Roman"/>
          <w:color w:val="auto"/>
          <w:sz w:val="32"/>
          <w:szCs w:val="32"/>
          <w:lang w:val="en-US" w:eastAsia="zh-CN"/>
        </w:rPr>
        <w:t>和要求，需提供各阶段过程文件和最终确认的源文件，不得侵犯第三人的合法权益，提交的成果文件确保知识产权完整</w:t>
      </w:r>
      <w:r>
        <w:rPr>
          <w:rFonts w:hint="default" w:ascii="Times New Roman" w:hAnsi="Times New Roman" w:eastAsia="方正仿宋_GBK" w:cs="Times New Roman"/>
          <w:color w:val="auto"/>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8、验收方式</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甲方组织评审通过。</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第三章 供应商须知</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供应商须知</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5"/>
        <w:gridCol w:w="850"/>
        <w:gridCol w:w="2465"/>
        <w:gridCol w:w="43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noWrap w:val="0"/>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阶段</w:t>
            </w: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条款</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项目</w:t>
            </w:r>
          </w:p>
        </w:tc>
        <w:tc>
          <w:tcPr>
            <w:tcW w:w="4352" w:type="dxa"/>
            <w:noWrap w:val="0"/>
            <w:vAlign w:val="center"/>
          </w:tcPr>
          <w:p>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p>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准备及其响应</w:t>
            </w: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1</w:t>
            </w:r>
          </w:p>
        </w:tc>
        <w:tc>
          <w:tcPr>
            <w:tcW w:w="2465" w:type="dxa"/>
            <w:noWrap w:val="0"/>
            <w:vAlign w:val="center"/>
          </w:tcPr>
          <w:p>
            <w:pPr>
              <w:tabs>
                <w:tab w:val="left" w:pos="639"/>
              </w:tabs>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踏勘现场</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3</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预备会</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4</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分包</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5</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响应截止时间</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6</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最高限价</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人民币</w:t>
            </w:r>
            <w:r>
              <w:rPr>
                <w:rFonts w:hint="default" w:ascii="Times New Roman" w:hAnsi="Times New Roman" w:eastAsia="仿宋" w:cs="Times New Roman"/>
                <w:color w:val="auto"/>
                <w:sz w:val="22"/>
                <w:szCs w:val="22"/>
                <w:lang w:val="en-US" w:eastAsia="zh-CN"/>
              </w:rPr>
              <w:t>18</w:t>
            </w:r>
            <w:r>
              <w:rPr>
                <w:rFonts w:hint="default" w:ascii="Times New Roman" w:hAnsi="Times New Roman" w:eastAsia="仿宋" w:cs="Times New Roman"/>
                <w:color w:val="auto"/>
                <w:sz w:val="22"/>
                <w:szCs w:val="22"/>
              </w:rPr>
              <w:t>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响应文件有效期</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u w:val="single"/>
                <w:lang w:val="en-US" w:eastAsia="zh-CN"/>
              </w:rPr>
              <w:t>2</w:t>
            </w:r>
            <w:r>
              <w:rPr>
                <w:rFonts w:hint="default" w:ascii="Times New Roman" w:hAnsi="Times New Roman" w:eastAsia="仿宋" w:cs="Times New Roman"/>
                <w:color w:val="auto"/>
                <w:sz w:val="22"/>
                <w:szCs w:val="22"/>
                <w:u w:val="single"/>
              </w:rPr>
              <w:t>0</w:t>
            </w:r>
            <w:r>
              <w:rPr>
                <w:rFonts w:hint="default" w:ascii="Times New Roman" w:hAnsi="Times New Roman" w:eastAsia="仿宋" w:cs="Times New Roman"/>
                <w:color w:val="auto"/>
                <w:sz w:val="22"/>
                <w:szCs w:val="22"/>
              </w:rPr>
              <w:t>日历天（从响应文件递交截止日算起）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缔约保证金</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无须提交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8</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响应文件份数</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纸质文件正本1份，副本</w:t>
            </w:r>
            <w:r>
              <w:rPr>
                <w:rFonts w:hint="default" w:ascii="Times New Roman" w:hAnsi="Times New Roman" w:eastAsia="仿宋" w:cs="Times New Roman"/>
                <w:color w:val="auto"/>
                <w:sz w:val="22"/>
                <w:szCs w:val="22"/>
                <w:u w:val="none"/>
                <w:lang w:val="en-US" w:eastAsia="zh-CN"/>
              </w:rPr>
              <w:t>1</w:t>
            </w:r>
            <w:r>
              <w:rPr>
                <w:rFonts w:hint="default" w:ascii="Times New Roman" w:hAnsi="Times New Roman" w:eastAsia="仿宋" w:cs="Times New Roman"/>
                <w:color w:val="auto"/>
                <w:sz w:val="22"/>
                <w:szCs w:val="22"/>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9</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响应文件的密封和标记</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要求密封；响应文件应在密封处加盖公章，标注正本和副本，封皮应注明：</w:t>
            </w:r>
          </w:p>
          <w:p>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项目名称：</w:t>
            </w:r>
            <w:r>
              <w:rPr>
                <w:rFonts w:hint="default" w:ascii="Times New Roman" w:hAnsi="Times New Roman" w:eastAsia="仿宋" w:cs="Times New Roman"/>
                <w:color w:val="auto"/>
                <w:sz w:val="22"/>
                <w:szCs w:val="22"/>
                <w:u w:val="single"/>
              </w:rPr>
              <w:t>“淮盐”品牌策划设计项目</w:t>
            </w:r>
          </w:p>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供应商名称：</w:t>
            </w:r>
            <w:r>
              <w:rPr>
                <w:rFonts w:hint="default" w:ascii="Times New Roman" w:hAnsi="Times New Roman" w:eastAsia="仿宋" w:cs="Times New Roman"/>
                <w:color w:val="auto"/>
                <w:sz w:val="22"/>
                <w:szCs w:val="22"/>
                <w:u w:val="single"/>
              </w:rPr>
              <w:t xml:space="preserve">                </w:t>
            </w:r>
            <w:r>
              <w:rPr>
                <w:rFonts w:hint="default" w:ascii="Times New Roman" w:hAnsi="Times New Roman" w:eastAsia="仿宋" w:cs="Times New Roman"/>
                <w:color w:val="auto"/>
                <w:sz w:val="22"/>
                <w:szCs w:val="22"/>
              </w:rPr>
              <w:t xml:space="preserve"> </w:t>
            </w:r>
          </w:p>
          <w:p>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供应商地址：</w:t>
            </w:r>
            <w:r>
              <w:rPr>
                <w:rFonts w:hint="default" w:ascii="Times New Roman" w:hAnsi="Times New Roman" w:eastAsia="仿宋" w:cs="Times New Roman"/>
                <w:color w:val="auto"/>
                <w:sz w:val="22"/>
                <w:szCs w:val="22"/>
                <w:u w:val="single"/>
              </w:rPr>
              <w:t xml:space="preserve">                </w:t>
            </w:r>
          </w:p>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联系人及其联系方式：</w:t>
            </w:r>
            <w:r>
              <w:rPr>
                <w:rFonts w:hint="default" w:ascii="Times New Roman" w:hAnsi="Times New Roman" w:eastAsia="仿宋" w:cs="Times New Roman"/>
                <w:color w:val="auto"/>
                <w:sz w:val="22"/>
                <w:szCs w:val="22"/>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10</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响应文件提交</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本项目</w:t>
            </w:r>
            <w:r>
              <w:rPr>
                <w:rFonts w:hint="default" w:ascii="Times New Roman" w:hAnsi="Times New Roman" w:eastAsia="仿宋" w:cs="Times New Roman"/>
                <w:color w:val="auto"/>
                <w:sz w:val="22"/>
                <w:szCs w:val="22"/>
                <w:lang w:val="en-US" w:eastAsia="zh-CN"/>
              </w:rPr>
              <w:t>线下</w:t>
            </w:r>
            <w:r>
              <w:rPr>
                <w:rFonts w:hint="default" w:ascii="Times New Roman" w:hAnsi="Times New Roman" w:eastAsia="仿宋" w:cs="Times New Roman"/>
                <w:color w:val="auto"/>
                <w:sz w:val="22"/>
                <w:szCs w:val="22"/>
              </w:rPr>
              <w:t>提交纸质响应文件；响应文件送达地址：</w:t>
            </w:r>
            <w:r>
              <w:rPr>
                <w:rFonts w:hint="default" w:ascii="Times New Roman" w:hAnsi="Times New Roman" w:eastAsia="仿宋" w:cs="Times New Roman"/>
                <w:color w:val="auto"/>
                <w:sz w:val="22"/>
                <w:szCs w:val="22"/>
                <w:u w:val="single"/>
              </w:rPr>
              <w:t>见采购公告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文件开启及评审</w:t>
            </w: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11</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响应文件开启会议</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不举行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12</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开启文件前的密封检查</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13</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评审小组</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拟由5人，通过直接聘请方式确认。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14</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评审办法</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见评审办法有关条款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15</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成交候选人</w:t>
            </w:r>
          </w:p>
        </w:tc>
        <w:tc>
          <w:tcPr>
            <w:tcW w:w="4352" w:type="dxa"/>
            <w:noWrap w:val="0"/>
            <w:vAlign w:val="top"/>
          </w:tcPr>
          <w:p>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公示；公示媒介：苏盐井神招标中心官网（http://zbzx.jsjsyh.com/）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5" w:type="dxa"/>
            <w:vMerge w:val="restart"/>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确定成交人</w:t>
            </w: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16</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成交办法</w:t>
            </w:r>
          </w:p>
        </w:tc>
        <w:tc>
          <w:tcPr>
            <w:tcW w:w="4352" w:type="dxa"/>
            <w:noWrap w:val="0"/>
            <w:vAlign w:val="center"/>
          </w:tcPr>
          <w:p>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见采购方法有关条款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55" w:type="dxa"/>
            <w:vMerge w:val="continue"/>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17</w:t>
            </w:r>
          </w:p>
        </w:tc>
        <w:tc>
          <w:tcPr>
            <w:tcW w:w="2465" w:type="dxa"/>
            <w:noWrap w:val="0"/>
            <w:vAlign w:val="center"/>
          </w:tcPr>
          <w:p>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签订合同</w:t>
            </w:r>
          </w:p>
        </w:tc>
        <w:tc>
          <w:tcPr>
            <w:tcW w:w="4352" w:type="dxa"/>
            <w:noWrap w:val="0"/>
            <w:vAlign w:val="center"/>
          </w:tcPr>
          <w:p>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见有关条款</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1、发生下列情况之一者，视为无效响应行为</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（1）响应文件未密封或未按规定签字、盖章的。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（2）未按采购文件的规定提交缔约保证金的。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（3）响应文件未按规定格式填写，或内容与采购文件严重背离的。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（4）响应文件有两个以上报价的（采购文件允许提交备选方案的除外）。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（5）质量标准不符合采购文件要求的。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（6）服务期不符合采购文件要求的。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（7）报价超过最高限价的。</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（8）供应商不符合国家或者采购文件规定的资格条件。</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（9）响应文件没有对采购文件的实质性要求和条件作出响应。</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（10）其他不符合采购文件要求的情形。</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、响应文件要求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.1响应文件包括下列内容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（1）响应函及其附录。</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（2）法定代表人证明或授权委托书。</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（3）商务条件</w:t>
      </w:r>
      <w:r>
        <w:rPr>
          <w:rFonts w:hint="default" w:ascii="Times New Roman" w:hAnsi="Times New Roman" w:eastAsia="方正仿宋_GBK" w:cs="Times New Roman"/>
          <w:color w:val="auto"/>
          <w:sz w:val="32"/>
          <w:szCs w:val="32"/>
          <w:lang w:val="en-US" w:eastAsia="zh-CN"/>
        </w:rPr>
        <w:t>或</w:t>
      </w:r>
      <w:r>
        <w:rPr>
          <w:rFonts w:hint="default" w:ascii="Times New Roman" w:hAnsi="Times New Roman" w:eastAsia="方正仿宋_GBK" w:cs="Times New Roman"/>
          <w:color w:val="auto"/>
          <w:sz w:val="32"/>
          <w:szCs w:val="32"/>
        </w:rPr>
        <w:t>技术参数偏离表。</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（4）资格审查资料。</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（5）响应方案。</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（6）响应文件的澄清说明等其他有关材料。</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.2响应文件的格式依据项目情况在第七章“响应文件组成及格式附件”中选取。</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、异议和投诉</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依照《国有企业采购操作规范》和《国有企业采购管理规范》有关规定和程序执行。</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第四章 采购方法</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竞争磋商采购</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8"/>
        <w:gridCol w:w="70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1.谈判准备</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1.1供应商提交首次响应文件截止时间见采购公告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tcPr>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1.2在采购文件约定的时间、地点，供应商应向采购人递交响应文件；响应文件按照采购文件第三章供应商须知3.1的要求密封，按照第三章供应商须知3.2的规定提交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468" w:type="dxa"/>
            <w:vMerge w:val="continue"/>
            <w:tcBorders>
              <w:tl2br w:val="nil"/>
              <w:tr2bl w:val="nil"/>
            </w:tcBorders>
          </w:tcPr>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1.3首次响应文件提交截止后，参与响应供应商数量为2家的，采购活动可以继续进行；响应供应商为1家的，经采购人管理部门批准后，可转其他采购程序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trPr>
        <w:tc>
          <w:tcPr>
            <w:tcW w:w="1468" w:type="dxa"/>
            <w:vMerge w:val="continue"/>
            <w:tcBorders>
              <w:tl2br w:val="nil"/>
              <w:tr2bl w:val="nil"/>
            </w:tcBorders>
          </w:tcPr>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1.4磋商开始</w:t>
            </w:r>
          </w:p>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本次磋商共1轮</w:t>
            </w:r>
          </w:p>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开始磋商时间和地点见采购公告</w:t>
            </w:r>
          </w:p>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供应商磋商的顺序在谈判开始后抽签决定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2.资格审查</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供应商应按规定提供资格申请资料；采购人负责组织对供应商的资格进行审查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3.磋商开始</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不组织开始仪式，在苏盐井神招标中心官网（http://zbzx.jsjsyh.com/）公示供应商首次报价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4.磋商程序</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4.1磋商活动分为以下</w:t>
            </w:r>
            <w:r>
              <w:rPr>
                <w:rFonts w:hint="default" w:ascii="Times New Roman" w:hAnsi="Times New Roman" w:cs="Times New Roman"/>
                <w:color w:val="auto"/>
                <w:lang w:val="en-US" w:eastAsia="zh-CN"/>
              </w:rPr>
              <w:t>三</w:t>
            </w:r>
            <w:r>
              <w:rPr>
                <w:rFonts w:hint="default" w:ascii="Times New Roman" w:hAnsi="Times New Roman" w:cs="Times New Roman"/>
                <w:color w:val="auto"/>
              </w:rPr>
              <w:t>个阶段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tcPr>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4.1.1第一阶段，包括采购人代表在内的磋商小组和供应商就采购项目进行讨论或对话；供应商可以修改采购需求中的技术、服务要求以及合同草案条款，但须经采购人代表确认；或提出实现采购目标的不同路径，供采购人选择；也可对确定方案进行价格初步谈判每轮沟通协商后应将确定的需求方案书面通知所有参加磋商活动的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tcPr>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4.1.2第二阶段，磋商小组依据磋商采购文件规定的标准，对该申请文件的技术和商务条件进行讨论、对话和综合评估；</w:t>
            </w:r>
            <w:r>
              <w:rPr>
                <w:rFonts w:hint="default" w:ascii="Times New Roman" w:hAnsi="Times New Roman" w:cs="Times New Roman"/>
                <w:color w:val="auto"/>
                <w:lang w:val="en-US" w:eastAsia="zh-CN"/>
              </w:rPr>
              <w:t>供应商应代表应根据现场磋商情况给与最终报价，</w:t>
            </w:r>
            <w:r>
              <w:rPr>
                <w:rFonts w:hint="default" w:ascii="Times New Roman" w:hAnsi="Times New Roman" w:cs="Times New Roman"/>
                <w:color w:val="auto"/>
              </w:rPr>
              <w:t>最终报价只有1家的，评审小组也应按照评审标准对其进行评审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tcPr>
          <w:p>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4.1.</w:t>
            </w:r>
            <w:r>
              <w:rPr>
                <w:rFonts w:hint="default" w:ascii="Times New Roman" w:hAnsi="Times New Roman" w:cs="Times New Roman"/>
                <w:color w:val="auto"/>
                <w:lang w:val="en-US" w:eastAsia="zh-CN"/>
              </w:rPr>
              <w:t>3</w:t>
            </w:r>
            <w:r>
              <w:rPr>
                <w:rFonts w:hint="default" w:ascii="Times New Roman" w:hAnsi="Times New Roman" w:cs="Times New Roman"/>
                <w:color w:val="auto"/>
              </w:rPr>
              <w:t>第</w:t>
            </w:r>
            <w:r>
              <w:rPr>
                <w:rFonts w:hint="default" w:ascii="Times New Roman" w:hAnsi="Times New Roman" w:cs="Times New Roman"/>
                <w:color w:val="auto"/>
                <w:lang w:val="en-US" w:eastAsia="zh-CN"/>
              </w:rPr>
              <w:t>三</w:t>
            </w:r>
            <w:r>
              <w:rPr>
                <w:rFonts w:hint="default" w:ascii="Times New Roman" w:hAnsi="Times New Roman" w:cs="Times New Roman"/>
                <w:color w:val="auto"/>
              </w:rPr>
              <w:t>阶段，磋商小组在各供应商提交最终报价的基础上对各供应商进行评审并撰写评审报告。评审报告：按照评审标准排序（打分）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5.评审办法</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6</w:t>
            </w:r>
            <w:r>
              <w:rPr>
                <w:rFonts w:hint="default" w:ascii="Times New Roman" w:hAnsi="Times New Roman" w:cs="Times New Roman"/>
                <w:color w:val="auto"/>
              </w:rPr>
              <w:t>.确定成交人</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评审得分最高的</w:t>
            </w:r>
            <w:r>
              <w:rPr>
                <w:rFonts w:hint="default" w:ascii="Times New Roman" w:hAnsi="Times New Roman" w:cs="Times New Roman"/>
                <w:color w:val="auto"/>
              </w:rPr>
              <w:t>供应商为</w:t>
            </w:r>
            <w:r>
              <w:rPr>
                <w:rFonts w:hint="default" w:ascii="Times New Roman" w:hAnsi="Times New Roman" w:cs="Times New Roman"/>
                <w:color w:val="auto"/>
                <w:lang w:val="en-US" w:eastAsia="zh-CN"/>
              </w:rPr>
              <w:t>拟</w:t>
            </w:r>
            <w:r>
              <w:rPr>
                <w:rFonts w:hint="default" w:ascii="Times New Roman" w:hAnsi="Times New Roman" w:cs="Times New Roman"/>
                <w:color w:val="auto"/>
              </w:rPr>
              <w:t>成交供应商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7</w:t>
            </w:r>
            <w:r>
              <w:rPr>
                <w:rFonts w:hint="default" w:ascii="Times New Roman" w:hAnsi="Times New Roman" w:cs="Times New Roman"/>
                <w:color w:val="auto"/>
              </w:rPr>
              <w:t>.特别规定</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8.1特殊情形时，只要没有超过预算，磋商过程中的供应商不足3家不影响磋商活动的进行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8.2在磋商活动中允许供应商退出磋商活动，在发出成交通知书3日内退还缔约保证金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8.3经和供应商讨论需修改合同实质内容或超过原项目预算需要批准的，采购人应当履行审批手续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8.4采购人不得就供应商提出的最终报盘和最终报价与其进行谈判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8</w:t>
            </w:r>
            <w:r>
              <w:rPr>
                <w:rFonts w:hint="default" w:ascii="Times New Roman" w:hAnsi="Times New Roman" w:cs="Times New Roman"/>
                <w:color w:val="auto"/>
              </w:rPr>
              <w:t>.公示成交候选人</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确定成交人3日内，在苏盐井神招标中心官网（http://zbzx.jsjsyh.com/）平台公示成交候选人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9</w:t>
            </w:r>
            <w:r>
              <w:rPr>
                <w:rFonts w:hint="default" w:ascii="Times New Roman" w:hAnsi="Times New Roman" w:cs="Times New Roman"/>
                <w:color w:val="auto"/>
              </w:rPr>
              <w:t>.发出成交通知书</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公示无异议或相关部门批准后，采购人应在7日内向成交供应商发出成交通知书，向其他供应商发出结果通知书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0</w:t>
            </w:r>
            <w:r>
              <w:rPr>
                <w:rFonts w:hint="default" w:ascii="Times New Roman" w:hAnsi="Times New Roman" w:cs="Times New Roman"/>
                <w:color w:val="auto"/>
              </w:rPr>
              <w:t>.合同签订</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11.1成交通知书发出后，采购人应协助企业合同管理部门根据采购结果，针对合同非实质性内容需进一步补充或细化的，编写拟补充、细化的条款</w:t>
            </w:r>
          </w:p>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应对合同双方提出的相关补充、细化条款的合法性和合理性进行分析，发现可能损害企业的合法利益、增加了企业的义务、背离了采购文件和响应供应商成交文件的实质性内容的，采购人应及时告知企业合同管理部门并提出预防风险的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11.2采购人和成交供应商应在双方约定的期限内签订合同，并向企业主管部门备案、报告，其中，采购项目应在发出成交通知书30日内签订合同；由于供应商拒绝签订合同，未按照采购文件规定的形式、金额、递交时间等要求缴纳履约保证金或其他原因导致在规定期限内合同无法签订的，采购人应及时采取救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11.3在磋商结束并和成交供应商签订合同3日内，应退还响应供应商的缔约保证金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1</w:t>
            </w:r>
            <w:r>
              <w:rPr>
                <w:rFonts w:hint="default" w:ascii="Times New Roman" w:hAnsi="Times New Roman" w:cs="Times New Roman"/>
                <w:color w:val="auto"/>
              </w:rPr>
              <w:t>.其他</w:t>
            </w:r>
          </w:p>
        </w:tc>
        <w:tc>
          <w:tcPr>
            <w:tcW w:w="7054"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采用资格后审方式磋商采购的，资格审査条件同资格预审相同</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第五章 评审办法</w:t>
      </w: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1、初步评审</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初步评审标准</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750"/>
        <w:gridCol w:w="3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评审环节</w:t>
            </w:r>
          </w:p>
        </w:tc>
        <w:tc>
          <w:tcPr>
            <w:tcW w:w="3750"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评审因素</w:t>
            </w:r>
          </w:p>
        </w:tc>
        <w:tc>
          <w:tcPr>
            <w:tcW w:w="3404" w:type="dxa"/>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形式评审</w:t>
            </w: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供应商名称</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与营业执照（事业单位法人证书），资质证书，银行资信证明等证明性证书一致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响应函签字盖章</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有响应函，有法定代表人或其委托代理人签字并加盖单位公章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响应文件格式</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符合采购文件“响应文件格式”要求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报价唯一</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只能有一个有效报价，按采购文件规定提交备选方案的除外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法定代表人授权委托</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有授权书。授权书有法定代表人及其委托代理人签字并加盖单位公章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资格评审</w:t>
            </w: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供应商应当具有独立承担民事责任和履行合同的能力。</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提供营业执照（副本）、税务登记证、组织机构代码证或提供三证合一后的营业执照（副本）。（提供加盖公章的复印件）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供应商近五年（2019年1月1日至今，以合同签订时间为准）应当具有承接过同类项目的业绩。</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szCs w:val="21"/>
              </w:rPr>
              <w:t>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供应商在人员、专业技术、设备、资金等方面具有履行合同所必需的能力；中标后不得分包与转包。</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供应商须为中华人民共和国境内登记注册的企业（事业）法人或非法人组织，未被列入中国执行信息公开网（http://zxgk.court.gov.cn/shixin/）“失信被执行人名单”。</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供应商不得存在的情形</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满足采购公告3.2要求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响应性</w:t>
            </w:r>
          </w:p>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w:t>
            </w: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报价</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没有超过最高限价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项目服务期</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符合采购文件第二章“采购需求”的规定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响应文件有效期</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满足采购文件的规定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商务偏差</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无采购人不能接受的偏差内容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其他</w:t>
            </w:r>
          </w:p>
        </w:tc>
        <w:tc>
          <w:tcPr>
            <w:tcW w:w="3404" w:type="dxa"/>
            <w:tcBorders>
              <w:tl2br w:val="nil"/>
              <w:tr2bl w:val="nil"/>
            </w:tcBorders>
            <w:vAlign w:val="center"/>
          </w:tcPr>
          <w:p>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无法律法规及采购文件规定的其他无效响应内容</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说明：初步评审活动依照形式评审、资格评审、响应性评审顺序进行，前一个环节不符合采购文件要求的不得进入下一个环节。</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2、详细评审</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2.1评审方法</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磋商小组将对确定为实质性响应采购文件要求的响应文件进行评价和比较，评审采用综合评分法。将根据设计方案的科学性，实施方案的实用性、可操作性，企业技术力量、业绩，售后服务等方面进行综合评审。按评审后得分由高到低顺序排列。得分相同的，按报价由低到高顺序排列。得分且报价相同的，按技术指标优劣顺序排列。</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2.2评审标准</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5"/>
        <w:gridCol w:w="1413"/>
        <w:gridCol w:w="1687"/>
        <w:gridCol w:w="43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序号</w:t>
            </w:r>
          </w:p>
        </w:tc>
        <w:tc>
          <w:tcPr>
            <w:tcW w:w="3100" w:type="dxa"/>
            <w:gridSpan w:val="2"/>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评审项目及分值</w:t>
            </w:r>
          </w:p>
        </w:tc>
        <w:tc>
          <w:tcPr>
            <w:tcW w:w="4364" w:type="dxa"/>
          </w:tcPr>
          <w:p>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w:t>
            </w:r>
          </w:p>
        </w:tc>
        <w:tc>
          <w:tcPr>
            <w:tcW w:w="1413"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价格评审</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（30分）</w:t>
            </w: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报价</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（30分）</w:t>
            </w:r>
          </w:p>
        </w:tc>
        <w:tc>
          <w:tcPr>
            <w:tcW w:w="4364" w:type="dxa"/>
          </w:tcPr>
          <w:p>
            <w:pPr>
              <w:adjustRightInd w:val="0"/>
              <w:snapToGrid w:val="0"/>
              <w:spacing w:line="400" w:lineRule="exact"/>
              <w:jc w:val="left"/>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有效投标报价的平均值为评标基准：</w:t>
            </w:r>
          </w:p>
          <w:p>
            <w:pPr>
              <w:adjustRightInd w:val="0"/>
              <w:snapToGrid w:val="0"/>
              <w:spacing w:line="400" w:lineRule="exact"/>
              <w:jc w:val="left"/>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1.有效报价等于和低于评标基准价的，得满分；</w:t>
            </w:r>
          </w:p>
          <w:p>
            <w:pPr>
              <w:adjustRightInd w:val="0"/>
              <w:snapToGrid w:val="0"/>
              <w:spacing w:line="400" w:lineRule="exact"/>
              <w:jc w:val="left"/>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2.投标报价每高于评标基准价1%，扣1分</w:t>
            </w:r>
            <w:r>
              <w:rPr>
                <w:rFonts w:hint="default" w:ascii="Times New Roman" w:hAnsi="Times New Roman" w:cs="Times New Roman"/>
                <w:color w:val="auto"/>
              </w:rPr>
              <w:t>，</w:t>
            </w:r>
            <w:r>
              <w:rPr>
                <w:rFonts w:hint="default" w:ascii="Times New Roman" w:hAnsi="Times New Roman" w:cs="Times New Roman"/>
                <w:color w:val="auto"/>
                <w:sz w:val="22"/>
                <w:szCs w:val="22"/>
              </w:rPr>
              <w:t>扣满10分为止；</w:t>
            </w:r>
          </w:p>
          <w:p>
            <w:pPr>
              <w:adjustRightInd w:val="0"/>
              <w:snapToGrid w:val="0"/>
              <w:spacing w:line="400" w:lineRule="exact"/>
              <w:jc w:val="left"/>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得分结果保留两位小数，四舍五入。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restart"/>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w:t>
            </w:r>
          </w:p>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restart"/>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商务评审</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（25分）</w:t>
            </w: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公司实力</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（5分）</w:t>
            </w:r>
          </w:p>
        </w:tc>
        <w:tc>
          <w:tcPr>
            <w:tcW w:w="4364" w:type="dxa"/>
          </w:tcPr>
          <w:p>
            <w:pPr>
              <w:adjustRightInd w:val="0"/>
              <w:snapToGrid w:val="0"/>
              <w:spacing w:line="400" w:lineRule="exact"/>
              <w:jc w:val="left"/>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提供的得到地级市以上政府组织颁发的相关奖项证明（如：高新技术、专精特新、创新型企业等称号），每个1分，最高3分；</w:t>
            </w:r>
          </w:p>
          <w:p>
            <w:pPr>
              <w:adjustRightInd w:val="0"/>
              <w:snapToGrid w:val="0"/>
              <w:spacing w:line="400" w:lineRule="exact"/>
              <w:jc w:val="left"/>
              <w:rPr>
                <w:rFonts w:hint="default" w:ascii="Times New Roman" w:hAnsi="Times New Roman" w:eastAsia="方正仿宋_GBK" w:cs="Times New Roman"/>
                <w:color w:val="auto"/>
                <w:sz w:val="32"/>
                <w:szCs w:val="32"/>
              </w:rPr>
            </w:pPr>
            <w:r>
              <w:rPr>
                <w:rFonts w:hint="default" w:ascii="Times New Roman" w:hAnsi="Times New Roman" w:cs="Times New Roman"/>
                <w:color w:val="auto"/>
                <w:sz w:val="22"/>
                <w:szCs w:val="22"/>
              </w:rPr>
              <w:t>2.投标法人、创始人、高管参与编著的品牌方面研究著作，每个1分，最高2分；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公司业绩证明</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（10分）</w:t>
            </w:r>
          </w:p>
        </w:tc>
        <w:tc>
          <w:tcPr>
            <w:tcW w:w="4364" w:type="dxa"/>
          </w:tcPr>
          <w:p>
            <w:pPr>
              <w:spacing w:line="400" w:lineRule="exact"/>
              <w:rPr>
                <w:rFonts w:hint="default" w:ascii="Times New Roman" w:hAnsi="Times New Roman" w:eastAsia="方正仿宋_GBK" w:cs="Times New Roman"/>
                <w:color w:val="auto"/>
                <w:sz w:val="32"/>
                <w:szCs w:val="32"/>
              </w:rPr>
            </w:pPr>
            <w:r>
              <w:rPr>
                <w:rFonts w:hint="default" w:ascii="Times New Roman" w:hAnsi="Times New Roman" w:cs="Times New Roman"/>
                <w:color w:val="auto"/>
                <w:sz w:val="22"/>
                <w:szCs w:val="22"/>
              </w:rPr>
              <w:t>对供应商近三年（2021年1月1日至今，以合同签订时间为准）承接过包含上市公司、省级政府组织、国有企业、行业TOP10单位的同类项目业绩进行打分，每有一份合格业绩得2分，满分10分。（提供业绩合同复印件，合同复印件必须至少包含清晰的双方签字和印章、服务内容、签订时间，缺少任何一项或复印不清晰有可能被视同合同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pPr>
              <w:adjustRightInd w:val="0"/>
              <w:snapToGrid w:val="0"/>
              <w:spacing w:line="400" w:lineRule="exact"/>
              <w:jc w:val="center"/>
              <w:rPr>
                <w:rFonts w:hint="default" w:ascii="Times New Roman" w:hAnsi="Times New Roman" w:cs="Times New Roman"/>
                <w:color w:val="auto"/>
                <w:sz w:val="22"/>
                <w:szCs w:val="22"/>
              </w:rPr>
            </w:pPr>
          </w:p>
        </w:tc>
        <w:tc>
          <w:tcPr>
            <w:tcW w:w="1687" w:type="dxa"/>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负责人业绩</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（10分）</w:t>
            </w:r>
          </w:p>
        </w:tc>
        <w:tc>
          <w:tcPr>
            <w:tcW w:w="4364" w:type="dxa"/>
          </w:tcPr>
          <w:p>
            <w:pPr>
              <w:spacing w:line="400" w:lineRule="exact"/>
              <w:rPr>
                <w:rFonts w:hint="default" w:ascii="Times New Roman" w:hAnsi="Times New Roman" w:eastAsia="方正仿宋_GBK" w:cs="Times New Roman"/>
                <w:color w:val="auto"/>
                <w:sz w:val="32"/>
                <w:szCs w:val="32"/>
              </w:rPr>
            </w:pPr>
            <w:r>
              <w:rPr>
                <w:rFonts w:hint="default" w:ascii="Times New Roman" w:hAnsi="Times New Roman" w:cs="Times New Roman"/>
                <w:color w:val="auto"/>
                <w:sz w:val="22"/>
                <w:szCs w:val="22"/>
              </w:rPr>
              <w:t>对供应商拟派项目负责人近三年（2021年1月1日至今，以合同签订时间为准）承接过的同类项目业绩进行打分，提供1份合格业绩得3分，4份以及以上得10分。（提供拟派项目负责人与供应商签订的有效期内劳动合同、简历、身份证复印件、资质证书、2023年以来任意连续6个月及以上的社保部门出具的供应商为其缴纳养老保险证明材料和业绩合同等材料复印件，合同应能体现项目负责人信息，否则不予认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restart"/>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3</w:t>
            </w:r>
          </w:p>
        </w:tc>
        <w:tc>
          <w:tcPr>
            <w:tcW w:w="1413" w:type="dxa"/>
            <w:vMerge w:val="restart"/>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技术评审</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（45分）</w:t>
            </w: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技术方案</w:t>
            </w:r>
          </w:p>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（30分）</w:t>
            </w:r>
          </w:p>
        </w:tc>
        <w:tc>
          <w:tcPr>
            <w:tcW w:w="4364" w:type="dxa"/>
          </w:tcPr>
          <w:p>
            <w:pPr>
              <w:adjustRightInd w:val="0"/>
              <w:snapToGrid w:val="0"/>
              <w:spacing w:line="400" w:lineRule="exact"/>
              <w:jc w:val="left"/>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1.根据招标需求对本项目现状进行初步分析诊断，评审小组根据提供材料质量，得0-10分；</w:t>
            </w:r>
          </w:p>
          <w:p>
            <w:pPr>
              <w:adjustRightInd w:val="0"/>
              <w:snapToGrid w:val="0"/>
              <w:spacing w:line="400" w:lineRule="exact"/>
              <w:jc w:val="left"/>
              <w:rPr>
                <w:rFonts w:hint="default" w:ascii="Times New Roman" w:hAnsi="Times New Roman" w:cs="Times New Roman"/>
                <w:color w:val="auto"/>
                <w:sz w:val="32"/>
                <w:szCs w:val="32"/>
              </w:rPr>
            </w:pPr>
            <w:r>
              <w:rPr>
                <w:rFonts w:hint="default" w:ascii="Times New Roman" w:hAnsi="Times New Roman" w:cs="Times New Roman"/>
                <w:color w:val="auto"/>
                <w:sz w:val="22"/>
                <w:szCs w:val="22"/>
              </w:rPr>
              <w:t>2.根据招标需求对本项目提供针对性策划设计思路和创意方案，评审小组根据提供材料质量，得0-20分。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vAlign w:val="center"/>
          </w:tcPr>
          <w:p>
            <w:pPr>
              <w:spacing w:line="400" w:lineRule="exact"/>
              <w:jc w:val="center"/>
              <w:rPr>
                <w:rFonts w:hint="default" w:ascii="Times New Roman" w:hAnsi="Times New Roman" w:eastAsia="方正仿宋_GBK" w:cs="Times New Roman"/>
                <w:color w:val="auto"/>
                <w:sz w:val="32"/>
                <w:szCs w:val="32"/>
              </w:rPr>
            </w:pPr>
          </w:p>
        </w:tc>
        <w:tc>
          <w:tcPr>
            <w:tcW w:w="1413" w:type="dxa"/>
            <w:vMerge w:val="continue"/>
            <w:vAlign w:val="center"/>
          </w:tcPr>
          <w:p>
            <w:pPr>
              <w:spacing w:line="400" w:lineRule="exact"/>
              <w:jc w:val="center"/>
              <w:rPr>
                <w:rFonts w:hint="default" w:ascii="Times New Roman" w:hAnsi="Times New Roman" w:eastAsia="方正仿宋_GBK" w:cs="Times New Roman"/>
                <w:color w:val="auto"/>
                <w:sz w:val="32"/>
                <w:szCs w:val="32"/>
              </w:rPr>
            </w:pP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项目保障</w:t>
            </w:r>
          </w:p>
          <w:p>
            <w:pPr>
              <w:adjustRightInd w:val="0"/>
              <w:snapToGrid w:val="0"/>
              <w:spacing w:line="400" w:lineRule="exact"/>
              <w:jc w:val="center"/>
              <w:rPr>
                <w:rFonts w:hint="default" w:ascii="Times New Roman" w:hAnsi="Times New Roman" w:eastAsia="方正仿宋_GBK" w:cs="Times New Roman"/>
                <w:color w:val="auto"/>
                <w:sz w:val="32"/>
                <w:szCs w:val="32"/>
              </w:rPr>
            </w:pPr>
            <w:r>
              <w:rPr>
                <w:rFonts w:hint="default" w:ascii="Times New Roman" w:hAnsi="Times New Roman" w:cs="Times New Roman"/>
                <w:color w:val="auto"/>
                <w:sz w:val="22"/>
                <w:szCs w:val="22"/>
              </w:rPr>
              <w:t>（8分）</w:t>
            </w:r>
          </w:p>
        </w:tc>
        <w:tc>
          <w:tcPr>
            <w:tcW w:w="4364" w:type="dxa"/>
          </w:tcPr>
          <w:p>
            <w:pPr>
              <w:adjustRightInd w:val="0"/>
              <w:snapToGrid w:val="0"/>
              <w:spacing w:line="400" w:lineRule="exact"/>
              <w:jc w:val="left"/>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1.投标人提供详细的实施计划，根据其科学性和可操作程度，得0-4分；</w:t>
            </w:r>
          </w:p>
          <w:p>
            <w:pPr>
              <w:spacing w:line="400" w:lineRule="exact"/>
              <w:rPr>
                <w:rFonts w:hint="default" w:ascii="Times New Roman" w:hAnsi="Times New Roman" w:eastAsia="方正仿宋_GBK" w:cs="Times New Roman"/>
                <w:color w:val="auto"/>
                <w:sz w:val="32"/>
                <w:szCs w:val="32"/>
              </w:rPr>
            </w:pPr>
            <w:r>
              <w:rPr>
                <w:rFonts w:hint="default" w:ascii="Times New Roman" w:hAnsi="Times New Roman" w:cs="Times New Roman"/>
                <w:color w:val="auto"/>
                <w:sz w:val="22"/>
                <w:szCs w:val="22"/>
              </w:rPr>
              <w:t>2.投标人提供质量、服务、技术等方面保障方案，得0-4分。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vAlign w:val="center"/>
          </w:tcPr>
          <w:p>
            <w:pPr>
              <w:spacing w:line="400" w:lineRule="exact"/>
              <w:jc w:val="center"/>
              <w:rPr>
                <w:rFonts w:hint="default" w:ascii="Times New Roman" w:hAnsi="Times New Roman" w:eastAsia="方正仿宋_GBK" w:cs="Times New Roman"/>
                <w:color w:val="auto"/>
                <w:sz w:val="32"/>
                <w:szCs w:val="32"/>
              </w:rPr>
            </w:pPr>
          </w:p>
        </w:tc>
        <w:tc>
          <w:tcPr>
            <w:tcW w:w="1413" w:type="dxa"/>
            <w:vMerge w:val="continue"/>
            <w:vAlign w:val="center"/>
          </w:tcPr>
          <w:p>
            <w:pPr>
              <w:spacing w:line="400" w:lineRule="exact"/>
              <w:jc w:val="center"/>
              <w:rPr>
                <w:rFonts w:hint="default" w:ascii="Times New Roman" w:hAnsi="Times New Roman" w:eastAsia="方正仿宋_GBK" w:cs="Times New Roman"/>
                <w:color w:val="auto"/>
                <w:sz w:val="32"/>
                <w:szCs w:val="32"/>
              </w:rPr>
            </w:pPr>
          </w:p>
        </w:tc>
        <w:tc>
          <w:tcPr>
            <w:tcW w:w="1687" w:type="dxa"/>
            <w:vAlign w:val="center"/>
          </w:tcPr>
          <w:p>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服务团队</w:t>
            </w:r>
          </w:p>
          <w:p>
            <w:pPr>
              <w:spacing w:line="400" w:lineRule="exact"/>
              <w:jc w:val="center"/>
              <w:rPr>
                <w:rFonts w:hint="default" w:ascii="Times New Roman" w:hAnsi="Times New Roman" w:eastAsia="方正仿宋_GBK" w:cs="Times New Roman"/>
                <w:color w:val="auto"/>
                <w:sz w:val="32"/>
                <w:szCs w:val="32"/>
              </w:rPr>
            </w:pPr>
            <w:r>
              <w:rPr>
                <w:rFonts w:hint="default" w:ascii="Times New Roman" w:hAnsi="Times New Roman" w:cs="Times New Roman"/>
                <w:color w:val="auto"/>
                <w:sz w:val="22"/>
                <w:szCs w:val="22"/>
              </w:rPr>
              <w:t>（7分）</w:t>
            </w:r>
          </w:p>
        </w:tc>
        <w:tc>
          <w:tcPr>
            <w:tcW w:w="4364" w:type="dxa"/>
          </w:tcPr>
          <w:p>
            <w:pPr>
              <w:adjustRightInd w:val="0"/>
              <w:snapToGrid w:val="0"/>
              <w:spacing w:line="400" w:lineRule="exact"/>
              <w:jc w:val="left"/>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团队服务过类似品牌策划项目经验，人员配备符合总体要求，组织架构合理，权责明确。</w:t>
            </w:r>
          </w:p>
          <w:p>
            <w:pPr>
              <w:spacing w:line="400" w:lineRule="exact"/>
              <w:rPr>
                <w:rFonts w:hint="default" w:ascii="Times New Roman" w:hAnsi="Times New Roman" w:eastAsia="方正仿宋_GBK" w:cs="Times New Roman"/>
                <w:color w:val="auto"/>
                <w:sz w:val="32"/>
                <w:szCs w:val="32"/>
              </w:rPr>
            </w:pPr>
            <w:r>
              <w:rPr>
                <w:rFonts w:hint="default" w:ascii="Times New Roman" w:hAnsi="Times New Roman" w:cs="Times New Roman"/>
                <w:color w:val="auto"/>
                <w:sz w:val="22"/>
                <w:szCs w:val="22"/>
              </w:rPr>
              <w:t>投标人须提供相关证书或证明材料，没有或未提供不得分。</w:t>
            </w:r>
          </w:p>
        </w:tc>
      </w:tr>
    </w:tbl>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第六章 合同草案</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一、项目内容</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（一）策划“淮盐”品牌价值系统。包括品牌定位、核心价值卖点、品牌个性、品牌口号、品牌故事等。</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（二）设计“淮盐”品牌形象系统。包括品牌形象创意设计、品牌基础元素设计规范以及各场景品牌形象应用设计规范等。</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（三）设计“淮盐”品牌产品包装设计系统，包括现有和拟调整的全部各业务产品、各功能产品、各大小包装风格设计。</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二、合同金额</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2.1本合同委托项目作业费用总金额为XX（含税价），税率X。</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2.2本合同金额包括乙方作业人员因委托项目赴甲方调研访谈、项目提报等产生的往返甲乙双方城市的交通费用。</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三、付款方法</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签订后，甲方向乙方支付合同金额60%的作业费用；乙方完成初稿提报内容，设计方向经甲方认可后，自收到发票15个工作日内，甲方向乙方再支付合同金额30%的作业费用；乙方完成拟定终稿提报并经甲方认可后，自收到发票15个工作日内，甲方向乙方付清合同余额。</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四、作业时间</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自合同签订之日起45个工作日提交初稿方案，70个工作日提交优化方案，90个工作日完成全部项目。</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第七章 响应文件组成及格式附件</w:t>
      </w:r>
    </w:p>
    <w:p>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（注：按照实际需要可做适当调整）</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目录（供参考）</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1.响应函及其附录</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2.法定代表人证明或授权委托书</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3.商务条件/技术参数偏离表</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4.资格审查资料</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5.响应方案</w:t>
      </w:r>
    </w:p>
    <w:p>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6.响应文件的澄清说明等其他有关材料</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1、响应函及其附录</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1.1响应函</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致：</w:t>
      </w:r>
      <w:r>
        <w:rPr>
          <w:rFonts w:hint="default" w:ascii="Times New Roman" w:hAnsi="Times New Roman" w:eastAsia="方正仿宋_GBK" w:cs="Times New Roman"/>
          <w:color w:val="auto"/>
          <w:sz w:val="32"/>
          <w:szCs w:val="32"/>
          <w:u w:val="single"/>
        </w:rPr>
        <w:t>（采购人名称）</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1.我方已仔细研究了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（项目名称）采购文件的全部内容，愿意以含税价人民币</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XXXXXX</w:t>
      </w:r>
      <w:r>
        <w:rPr>
          <w:rFonts w:hint="default" w:ascii="Times New Roman" w:hAnsi="Times New Roman" w:eastAsia="方正仿宋_GBK" w:cs="Times New Roman"/>
          <w:color w:val="auto"/>
          <w:sz w:val="32"/>
          <w:szCs w:val="32"/>
          <w:u w:val="single"/>
        </w:rPr>
        <w:t xml:space="preserve">（大写） </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 xml:space="preserve">    XXXXXXX</w:t>
      </w:r>
      <w:r>
        <w:rPr>
          <w:rFonts w:hint="default" w:ascii="Times New Roman" w:hAnsi="Times New Roman" w:eastAsia="方正仿宋_GBK" w:cs="Times New Roman"/>
          <w:color w:val="auto"/>
          <w:sz w:val="32"/>
          <w:szCs w:val="32"/>
          <w:u w:val="single"/>
        </w:rPr>
        <w:t xml:space="preserve">（小写） </w:t>
      </w:r>
      <w:r>
        <w:rPr>
          <w:rFonts w:hint="default" w:ascii="Times New Roman" w:hAnsi="Times New Roman" w:eastAsia="方正仿宋_GBK" w:cs="Times New Roman"/>
          <w:color w:val="auto"/>
          <w:sz w:val="32"/>
          <w:szCs w:val="32"/>
        </w:rPr>
        <w:t>的报价（</w:t>
      </w:r>
      <w:r>
        <w:rPr>
          <w:rFonts w:hint="default" w:ascii="Times New Roman" w:hAnsi="Times New Roman" w:eastAsia="方正仿宋_GBK" w:cs="Times New Roman"/>
          <w:color w:val="auto"/>
          <w:sz w:val="32"/>
          <w:szCs w:val="32"/>
          <w:lang w:val="en-US" w:eastAsia="zh-CN"/>
        </w:rPr>
        <w:t>税率</w:t>
      </w: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u w:val="single"/>
          <w:lang w:val="en-US" w:eastAsia="zh-CN"/>
        </w:rPr>
        <w:t>XXXXX</w:t>
      </w:r>
      <w:r>
        <w:rPr>
          <w:rFonts w:hint="default" w:ascii="Times New Roman" w:hAnsi="Times New Roman" w:eastAsia="方正仿宋_GBK" w:cs="Times New Roman"/>
          <w:color w:val="auto"/>
          <w:sz w:val="32"/>
          <w:szCs w:val="32"/>
        </w:rPr>
        <w:t>；增值税为</w:t>
      </w:r>
      <w:r>
        <w:rPr>
          <w:rFonts w:hint="default" w:ascii="Times New Roman" w:hAnsi="Times New Roman" w:eastAsia="方正仿宋_GBK" w:cs="Times New Roman"/>
          <w:color w:val="auto"/>
          <w:sz w:val="32"/>
          <w:szCs w:val="32"/>
          <w:u w:val="single"/>
          <w:lang w:val="en-US" w:eastAsia="zh-CN"/>
        </w:rPr>
        <w:t>XXXX</w:t>
      </w:r>
      <w:r>
        <w:rPr>
          <w:rFonts w:hint="default" w:ascii="Times New Roman" w:hAnsi="Times New Roman" w:eastAsia="方正仿宋_GBK" w:cs="Times New Roman"/>
          <w:color w:val="auto"/>
          <w:sz w:val="32"/>
          <w:szCs w:val="32"/>
        </w:rPr>
        <w:t>）提供本项目服务并按合同约定履行义务。</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2.我方响应文件包括以下内容：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（1）响应函及其附录（报价表）。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（2）法定代表人证明或授权委托书。</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（3）商务条件/技术参数偏离表</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（4）资格审查资料。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（5）响应方案。</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（6）其他材料。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响应文件的上述组成部分如有不一致的内容，以响应函为准。</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3.我方承诺除商务条件/技术参数偏离表列出的偏差外，我方响应采购文件的全部要求。</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4.我方承诺在采购文件有效期内不撤销响应文件。</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5.如我方成交，我方承诺：</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（1）在收到通知书后，在成交通知书规定的期限内与你方签订合同。</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（2）在签订合同时不向你方提出附加条件。</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（3）按照采购文件的要求递交履约保证金。</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（4）在合同期限内完成合同规定的全部义务。</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6.我方在此声明，所递交的响应文件及有关资料内容完整、真实和准确，且不存在采购公告/邀请书中供应商不得存在的情形。</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7.</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（其他补充说明）。</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（签字或盖章）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spacing w:before="0" w:beforeLines="0" w:after="0" w:afterLines="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pPr>
        <w:pStyle w:val="2"/>
        <w:rPr>
          <w:rFonts w:hint="default" w:ascii="Times New Roman" w:hAnsi="Times New Roman" w:eastAsia="方正仿宋_GBK" w:cs="Times New Roman"/>
          <w:color w:val="auto"/>
          <w:sz w:val="32"/>
          <w:szCs w:val="32"/>
        </w:rPr>
      </w:pPr>
    </w:p>
    <w:p>
      <w:pPr>
        <w:pStyle w:val="2"/>
        <w:rPr>
          <w:rFonts w:hint="default" w:ascii="Times New Roman" w:hAnsi="Times New Roman" w:eastAsia="方正仿宋_GBK" w:cs="Times New Roman"/>
          <w:color w:val="auto"/>
          <w:sz w:val="32"/>
          <w:szCs w:val="32"/>
        </w:rPr>
      </w:pPr>
    </w:p>
    <w:p>
      <w:pPr>
        <w:pStyle w:val="2"/>
        <w:rPr>
          <w:rFonts w:hint="default" w:ascii="Times New Roman" w:hAnsi="Times New Roman" w:eastAsia="方正仿宋_GBK" w:cs="Times New Roman"/>
          <w:color w:val="auto"/>
          <w:sz w:val="32"/>
          <w:szCs w:val="32"/>
        </w:rPr>
      </w:pPr>
    </w:p>
    <w:p>
      <w:pPr>
        <w:pStyle w:val="2"/>
        <w:rPr>
          <w:rFonts w:hint="default" w:ascii="Times New Roman" w:hAnsi="Times New Roman" w:eastAsia="方正仿宋_GBK" w:cs="Times New Roman"/>
          <w:color w:val="auto"/>
          <w:sz w:val="32"/>
          <w:szCs w:val="32"/>
        </w:rPr>
      </w:pPr>
    </w:p>
    <w:p>
      <w:pPr>
        <w:pStyle w:val="2"/>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1.2报价一览表（格式）</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iCs/>
          <w:color w:val="auto"/>
          <w:sz w:val="32"/>
          <w:szCs w:val="32"/>
          <w:u w:val="single"/>
        </w:rPr>
      </w:pPr>
      <w:r>
        <w:rPr>
          <w:rFonts w:hint="default" w:ascii="Times New Roman" w:hAnsi="Times New Roman" w:eastAsia="方正仿宋_GBK" w:cs="Times New Roman"/>
          <w:color w:val="auto"/>
          <w:sz w:val="32"/>
          <w:szCs w:val="32"/>
        </w:rPr>
        <w:t>项目名称：</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项目编号：</w:t>
      </w:r>
      <w:r>
        <w:rPr>
          <w:rFonts w:hint="default" w:ascii="Times New Roman" w:hAnsi="Times New Roman" w:eastAsia="方正仿宋_GBK" w:cs="Times New Roman"/>
          <w:iCs/>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货币单位：万元（人民币）</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2950"/>
        <w:gridCol w:w="1238"/>
        <w:gridCol w:w="825"/>
        <w:gridCol w:w="1640"/>
        <w:gridCol w:w="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vAlign w:val="center"/>
          </w:tcPr>
          <w:p>
            <w:pPr>
              <w:widowControl/>
              <w:jc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序号</w:t>
            </w:r>
          </w:p>
        </w:tc>
        <w:tc>
          <w:tcPr>
            <w:tcW w:w="2950" w:type="dxa"/>
            <w:vAlign w:val="center"/>
          </w:tcPr>
          <w:p>
            <w:pPr>
              <w:widowControl/>
              <w:jc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分项服务内容</w:t>
            </w:r>
          </w:p>
        </w:tc>
        <w:tc>
          <w:tcPr>
            <w:tcW w:w="1238" w:type="dxa"/>
            <w:vAlign w:val="center"/>
          </w:tcPr>
          <w:p>
            <w:pPr>
              <w:widowControl/>
              <w:jc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单位</w:t>
            </w:r>
          </w:p>
        </w:tc>
        <w:tc>
          <w:tcPr>
            <w:tcW w:w="825" w:type="dxa"/>
            <w:vAlign w:val="center"/>
          </w:tcPr>
          <w:p>
            <w:pPr>
              <w:widowControl/>
              <w:jc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数量</w:t>
            </w:r>
          </w:p>
        </w:tc>
        <w:tc>
          <w:tcPr>
            <w:tcW w:w="1640" w:type="dxa"/>
            <w:vAlign w:val="center"/>
          </w:tcPr>
          <w:p>
            <w:pPr>
              <w:widowControl/>
              <w:jc w:val="center"/>
              <w:rPr>
                <w:rFonts w:hint="default" w:ascii="Times New Roman" w:hAnsi="Times New Roman" w:eastAsia="宋体" w:cs="Times New Roman"/>
                <w:color w:val="auto"/>
                <w:kern w:val="2"/>
                <w:sz w:val="24"/>
                <w:szCs w:val="24"/>
                <w:lang w:val="en-US" w:eastAsia="zh-CN" w:bidi="ar-SA"/>
              </w:rPr>
            </w:pPr>
            <w:r>
              <w:rPr>
                <w:rFonts w:hint="eastAsia" w:ascii="Times New Roman" w:hAnsi="Times New Roman" w:eastAsia="宋体" w:cs="Times New Roman"/>
                <w:color w:val="auto"/>
                <w:kern w:val="2"/>
                <w:sz w:val="24"/>
                <w:szCs w:val="24"/>
                <w:lang w:val="en-US" w:eastAsia="zh-CN" w:bidi="ar-SA"/>
              </w:rPr>
              <w:t>报</w:t>
            </w:r>
            <w:r>
              <w:rPr>
                <w:rFonts w:hint="default" w:ascii="Times New Roman" w:hAnsi="Times New Roman" w:eastAsia="宋体" w:cs="Times New Roman"/>
                <w:color w:val="auto"/>
                <w:kern w:val="2"/>
                <w:sz w:val="24"/>
                <w:szCs w:val="24"/>
                <w:lang w:val="en-US" w:eastAsia="zh-CN" w:bidi="ar-SA"/>
              </w:rPr>
              <w:t>价</w:t>
            </w:r>
          </w:p>
        </w:tc>
        <w:tc>
          <w:tcPr>
            <w:tcW w:w="914" w:type="dxa"/>
            <w:vAlign w:val="center"/>
          </w:tcPr>
          <w:p>
            <w:pPr>
              <w:widowControl/>
              <w:jc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tcPr>
          <w:p>
            <w:pPr>
              <w:widowControl/>
              <w:jc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1</w:t>
            </w:r>
          </w:p>
        </w:tc>
        <w:tc>
          <w:tcPr>
            <w:tcW w:w="2950"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1238"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825"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1640"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914" w:type="dxa"/>
          </w:tcPr>
          <w:p>
            <w:pPr>
              <w:widowControl/>
              <w:jc w:val="left"/>
              <w:rPr>
                <w:rFonts w:hint="default" w:ascii="Times New Roman" w:hAnsi="Times New Roman" w:eastAsia="宋体" w:cs="Times New Roman"/>
                <w:color w:val="auto"/>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tcPr>
          <w:p>
            <w:pPr>
              <w:widowControl/>
              <w:jc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2</w:t>
            </w:r>
          </w:p>
        </w:tc>
        <w:tc>
          <w:tcPr>
            <w:tcW w:w="2950"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1238"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825"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1640"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914" w:type="dxa"/>
          </w:tcPr>
          <w:p>
            <w:pPr>
              <w:widowControl/>
              <w:jc w:val="left"/>
              <w:rPr>
                <w:rFonts w:hint="default" w:ascii="Times New Roman" w:hAnsi="Times New Roman" w:eastAsia="宋体" w:cs="Times New Roman"/>
                <w:color w:val="auto"/>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tcPr>
          <w:p>
            <w:pPr>
              <w:widowControl/>
              <w:jc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3</w:t>
            </w:r>
          </w:p>
        </w:tc>
        <w:tc>
          <w:tcPr>
            <w:tcW w:w="2950"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1238"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825"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1640"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914" w:type="dxa"/>
          </w:tcPr>
          <w:p>
            <w:pPr>
              <w:widowControl/>
              <w:jc w:val="left"/>
              <w:rPr>
                <w:rFonts w:hint="default" w:ascii="Times New Roman" w:hAnsi="Times New Roman" w:eastAsia="宋体" w:cs="Times New Roman"/>
                <w:color w:val="auto"/>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tcPr>
          <w:p>
            <w:pPr>
              <w:widowControl/>
              <w:jc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4</w:t>
            </w:r>
          </w:p>
        </w:tc>
        <w:tc>
          <w:tcPr>
            <w:tcW w:w="2950"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1238"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825"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1640"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914" w:type="dxa"/>
          </w:tcPr>
          <w:p>
            <w:pPr>
              <w:widowControl/>
              <w:jc w:val="left"/>
              <w:rPr>
                <w:rFonts w:hint="default" w:ascii="Times New Roman" w:hAnsi="Times New Roman" w:eastAsia="宋体" w:cs="Times New Roman"/>
                <w:color w:val="auto"/>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tcPr>
          <w:p>
            <w:pPr>
              <w:widowControl/>
              <w:jc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w:t>
            </w:r>
          </w:p>
        </w:tc>
        <w:tc>
          <w:tcPr>
            <w:tcW w:w="2950"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1238"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825"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1640" w:type="dxa"/>
          </w:tcPr>
          <w:p>
            <w:pPr>
              <w:widowControl/>
              <w:jc w:val="left"/>
              <w:rPr>
                <w:rFonts w:hint="default" w:ascii="Times New Roman" w:hAnsi="Times New Roman" w:eastAsia="宋体" w:cs="Times New Roman"/>
                <w:color w:val="auto"/>
                <w:kern w:val="2"/>
                <w:sz w:val="24"/>
                <w:szCs w:val="24"/>
                <w:lang w:val="en-US" w:eastAsia="zh-CN" w:bidi="ar-SA"/>
              </w:rPr>
            </w:pPr>
          </w:p>
        </w:tc>
        <w:tc>
          <w:tcPr>
            <w:tcW w:w="914" w:type="dxa"/>
          </w:tcPr>
          <w:p>
            <w:pPr>
              <w:widowControl/>
              <w:jc w:val="left"/>
              <w:rPr>
                <w:rFonts w:hint="default" w:ascii="Times New Roman" w:hAnsi="Times New Roman" w:eastAsia="宋体" w:cs="Times New Roman"/>
                <w:color w:val="auto"/>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6"/>
          </w:tcPr>
          <w:p>
            <w:pPr>
              <w:widowControl/>
              <w:jc w:val="left"/>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总价：</w:t>
            </w:r>
          </w:p>
        </w:tc>
      </w:tr>
    </w:tbl>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注：响应报价应包含提供服务直至达到要求结果所付出的直接费用等所有费用。供应商若有漏项则自行承担相关风险：若报价有虚增项目或数量，结算时相应扣除该部分费用。</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（单位公章）</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w:t>
      </w:r>
      <w:r>
        <w:rPr>
          <w:rFonts w:hint="default" w:ascii="Times New Roman" w:hAnsi="Times New Roman" w:eastAsia="方正仿宋_GBK" w:cs="Times New Roman"/>
          <w:color w:val="auto"/>
          <w:sz w:val="32"/>
          <w:szCs w:val="32"/>
          <w:lang w:val="en-US" w:eastAsia="zh-CN"/>
        </w:rPr>
        <w:t xml:space="preserve">                    </w:t>
      </w:r>
      <w:r>
        <w:rPr>
          <w:rFonts w:hint="default" w:ascii="Times New Roman" w:hAnsi="Times New Roman" w:eastAsia="方正仿宋_GBK" w:cs="Times New Roman"/>
          <w:color w:val="auto"/>
          <w:sz w:val="32"/>
          <w:szCs w:val="32"/>
        </w:rPr>
        <w:t>年    月    日</w:t>
      </w:r>
    </w:p>
    <w:p>
      <w:pPr>
        <w:adjustRightInd w:val="0"/>
        <w:snapToGrid w:val="0"/>
        <w:spacing w:line="300" w:lineRule="auto"/>
        <w:jc w:val="left"/>
        <w:rPr>
          <w:rFonts w:hint="default" w:ascii="Times New Roman" w:hAnsi="Times New Roman" w:eastAsia="宋体" w:cs="Times New Roman"/>
          <w:color w:val="auto"/>
          <w:sz w:val="24"/>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2、法定代表人证明或授权委托书</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2.1法定代表人证明格式</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法定代表人证明</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单位性质：</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地  址：</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成立时间：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经营期限：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姓  名：</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性  别：</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年  龄：</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职  务：</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 xml:space="preserve">               （供应商名称）                   </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的法定代表人。</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特此证明。</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粘贴法定代表人身份证原件正反面的扫描件</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宋体" w:cs="Times New Roman"/>
          <w:color w:val="auto"/>
          <w:sz w:val="24"/>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pPr>
        <w:adjustRightInd w:val="0"/>
        <w:snapToGrid w:val="0"/>
        <w:spacing w:line="300" w:lineRule="auto"/>
        <w:rPr>
          <w:rFonts w:hint="default" w:ascii="Times New Roman" w:hAnsi="Times New Roman" w:eastAsia="宋体" w:cs="Times New Roman"/>
          <w:color w:val="auto"/>
          <w:sz w:val="24"/>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2.2法人授权委托书</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授权委托书</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本人</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（供应商名称）</w:t>
      </w:r>
      <w:r>
        <w:rPr>
          <w:rFonts w:hint="default" w:ascii="Times New Roman" w:hAnsi="Times New Roman" w:eastAsia="方正仿宋_GBK" w:cs="Times New Roman"/>
          <w:color w:val="auto"/>
          <w:sz w:val="32"/>
          <w:szCs w:val="32"/>
        </w:rPr>
        <w:t>的法定代表人，现授权</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为我方代理人。代理人根据授权，以我方名义签署、澄清、说明、提交、撤回、修改</w:t>
      </w:r>
      <w:r>
        <w:rPr>
          <w:rFonts w:hint="default" w:ascii="Times New Roman" w:hAnsi="Times New Roman" w:eastAsia="方正仿宋_GBK" w:cs="Times New Roman"/>
          <w:color w:val="auto"/>
          <w:sz w:val="32"/>
          <w:szCs w:val="32"/>
          <w:u w:val="single"/>
        </w:rPr>
        <w:t>（项目名称、项目编号、标段/标包号）</w:t>
      </w:r>
      <w:r>
        <w:rPr>
          <w:rFonts w:hint="default" w:ascii="Times New Roman" w:hAnsi="Times New Roman" w:eastAsia="方正仿宋_GBK" w:cs="Times New Roman"/>
          <w:color w:val="auto"/>
          <w:sz w:val="32"/>
          <w:szCs w:val="32"/>
        </w:rPr>
        <w:t xml:space="preserve">的服务响应文件、签订合同和处理有关事宜，其法律后果由我方承担。 </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本授权书于</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日至</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日有效，代理人无转委托权。</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特此声明。</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粘贴被授权人身份证原件正反面的扫描件</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（单位公章）</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法定代表人：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pPr>
        <w:keepNext w:val="0"/>
        <w:keepLines w:val="0"/>
        <w:pageBreakBefore w:val="0"/>
        <w:widowControl w:val="0"/>
        <w:kinsoku/>
        <w:wordWrap/>
        <w:overflowPunct/>
        <w:topLinePunct w:val="0"/>
        <w:autoSpaceDE/>
        <w:autoSpaceDN/>
        <w:bidi w:val="0"/>
        <w:adjustRightInd w:val="0"/>
        <w:snapToGrid w:val="0"/>
        <w:spacing w:line="600" w:lineRule="exact"/>
        <w:ind w:firstLine="1280" w:firstLineChars="400"/>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pPr>
        <w:adjustRightInd w:val="0"/>
        <w:snapToGrid w:val="0"/>
        <w:spacing w:before="156" w:beforeLines="50" w:after="156" w:afterLines="50" w:line="300" w:lineRule="auto"/>
        <w:rPr>
          <w:rFonts w:hint="default" w:ascii="Times New Roman" w:hAnsi="Times New Roman" w:eastAsia="黑体" w:cs="Times New Roman"/>
          <w:color w:val="auto"/>
          <w:sz w:val="28"/>
        </w:rPr>
      </w:pPr>
    </w:p>
    <w:p>
      <w:pPr>
        <w:widowControl w:val="0"/>
        <w:spacing w:after="120"/>
        <w:jc w:val="both"/>
        <w:rPr>
          <w:rFonts w:hint="default" w:ascii="Times New Roman" w:hAnsi="Times New Roman" w:eastAsia="宋体" w:cs="Times New Roman"/>
          <w:color w:val="auto"/>
          <w:kern w:val="2"/>
          <w:sz w:val="21"/>
          <w:szCs w:val="20"/>
          <w:lang w:val="en-US" w:eastAsia="zh-CN" w:bidi="ar-SA"/>
        </w:rPr>
      </w:pPr>
    </w:p>
    <w:p>
      <w:pPr>
        <w:widowControl/>
        <w:jc w:val="left"/>
        <w:rPr>
          <w:rFonts w:hint="default" w:ascii="Times New Roman" w:hAnsi="Times New Roman" w:eastAsia="黑体" w:cs="Times New Roman"/>
          <w:color w:val="auto"/>
          <w:sz w:val="28"/>
        </w:rPr>
      </w:pPr>
      <w:r>
        <w:rPr>
          <w:rFonts w:hint="default" w:ascii="Times New Roman" w:hAnsi="Times New Roman" w:eastAsia="黑体" w:cs="Times New Roman"/>
          <w:color w:val="auto"/>
          <w:sz w:val="28"/>
        </w:rPr>
        <w:br w:type="page"/>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3、商务条件/技术参数偏离表</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3.1商务条件偏离表（格式）</w:t>
      </w:r>
    </w:p>
    <w:p>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商务条件偏离表（格式）</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项目名称：</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项目编号：</w:t>
      </w:r>
      <w:r>
        <w:rPr>
          <w:rFonts w:hint="default" w:ascii="Times New Roman" w:hAnsi="Times New Roman" w:eastAsia="方正仿宋_GBK" w:cs="Times New Roman"/>
          <w:color w:val="auto"/>
          <w:sz w:val="32"/>
          <w:szCs w:val="32"/>
          <w:u w:val="single"/>
        </w:rPr>
        <w:t xml:space="preserve">             </w:t>
      </w:r>
    </w:p>
    <w:tbl>
      <w:tblPr>
        <w:tblStyle w:val="6"/>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2295"/>
        <w:gridCol w:w="3000"/>
        <w:gridCol w:w="1045"/>
        <w:gridCol w:w="1414"/>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5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序号</w:t>
            </w:r>
          </w:p>
        </w:tc>
        <w:tc>
          <w:tcPr>
            <w:tcW w:w="229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采购文件商务条款</w:t>
            </w:r>
          </w:p>
        </w:tc>
        <w:tc>
          <w:tcPr>
            <w:tcW w:w="300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响应文件的商务条款</w:t>
            </w:r>
          </w:p>
        </w:tc>
        <w:tc>
          <w:tcPr>
            <w:tcW w:w="104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偏离</w:t>
            </w:r>
          </w:p>
        </w:tc>
        <w:tc>
          <w:tcPr>
            <w:tcW w:w="141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说明</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5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w:t>
            </w:r>
          </w:p>
        </w:tc>
        <w:tc>
          <w:tcPr>
            <w:tcW w:w="229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服务期限</w:t>
            </w:r>
          </w:p>
        </w:tc>
        <w:tc>
          <w:tcPr>
            <w:tcW w:w="300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u w:val="single"/>
              </w:rPr>
            </w:pPr>
          </w:p>
        </w:tc>
        <w:tc>
          <w:tcPr>
            <w:tcW w:w="104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u w:val="single"/>
              </w:rPr>
            </w:pPr>
          </w:p>
        </w:tc>
        <w:tc>
          <w:tcPr>
            <w:tcW w:w="141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u w:val="singl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5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w:t>
            </w:r>
          </w:p>
        </w:tc>
        <w:tc>
          <w:tcPr>
            <w:tcW w:w="229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付款方式</w:t>
            </w:r>
          </w:p>
        </w:tc>
        <w:tc>
          <w:tcPr>
            <w:tcW w:w="300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u w:val="single"/>
              </w:rPr>
            </w:pPr>
          </w:p>
        </w:tc>
        <w:tc>
          <w:tcPr>
            <w:tcW w:w="104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u w:val="single"/>
              </w:rPr>
            </w:pPr>
          </w:p>
        </w:tc>
        <w:tc>
          <w:tcPr>
            <w:tcW w:w="141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u w:val="single"/>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75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3</w:t>
            </w:r>
          </w:p>
        </w:tc>
        <w:tc>
          <w:tcPr>
            <w:tcW w:w="229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w:t>
            </w:r>
          </w:p>
        </w:tc>
        <w:tc>
          <w:tcPr>
            <w:tcW w:w="300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u w:val="single"/>
              </w:rPr>
            </w:pPr>
          </w:p>
        </w:tc>
        <w:tc>
          <w:tcPr>
            <w:tcW w:w="104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u w:val="single"/>
              </w:rPr>
            </w:pPr>
          </w:p>
        </w:tc>
        <w:tc>
          <w:tcPr>
            <w:tcW w:w="141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u w:val="single"/>
              </w:rPr>
            </w:pPr>
          </w:p>
        </w:tc>
      </w:tr>
    </w:tbl>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注：对不满足采购文件要求的部分，必须明确如实填写并说明原因。</w:t>
      </w:r>
    </w:p>
    <w:p>
      <w:pPr>
        <w:widowControl/>
        <w:jc w:val="left"/>
        <w:rPr>
          <w:rFonts w:hint="default" w:ascii="Times New Roman" w:hAnsi="Times New Roman" w:eastAsia="黑体" w:cs="Times New Roman"/>
          <w:color w:val="auto"/>
          <w:sz w:val="28"/>
        </w:rPr>
      </w:pPr>
      <w:r>
        <w:rPr>
          <w:rFonts w:hint="default" w:ascii="Times New Roman" w:hAnsi="Times New Roman" w:eastAsia="黑体" w:cs="Times New Roman"/>
          <w:color w:val="auto"/>
          <w:sz w:val="28"/>
        </w:rPr>
        <w:br w:type="page"/>
      </w:r>
    </w:p>
    <w:p>
      <w:pPr>
        <w:widowControl/>
        <w:jc w:val="left"/>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4.资格审查资料</w:t>
      </w:r>
    </w:p>
    <w:p>
      <w:pPr>
        <w:adjustRightInd w:val="0"/>
        <w:snapToGrid w:val="0"/>
        <w:spacing w:line="300" w:lineRule="auto"/>
        <w:jc w:val="left"/>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4.1供应商基本情况表</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4"/>
        <w:gridCol w:w="940"/>
        <w:gridCol w:w="1217"/>
        <w:gridCol w:w="1217"/>
        <w:gridCol w:w="1925"/>
        <w:gridCol w:w="870"/>
        <w:gridCol w:w="8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供应商名称</w:t>
            </w:r>
          </w:p>
        </w:tc>
        <w:tc>
          <w:tcPr>
            <w:tcW w:w="7028" w:type="dxa"/>
            <w:gridSpan w:val="6"/>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注册地址</w:t>
            </w:r>
          </w:p>
        </w:tc>
        <w:tc>
          <w:tcPr>
            <w:tcW w:w="3374" w:type="dxa"/>
            <w:gridSpan w:val="3"/>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92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邮政编码</w:t>
            </w:r>
          </w:p>
        </w:tc>
        <w:tc>
          <w:tcPr>
            <w:tcW w:w="1729" w:type="dxa"/>
            <w:gridSpan w:val="2"/>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vMerge w:val="restart"/>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联系方式</w:t>
            </w:r>
          </w:p>
        </w:tc>
        <w:tc>
          <w:tcPr>
            <w:tcW w:w="94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联系人</w:t>
            </w:r>
          </w:p>
        </w:tc>
        <w:tc>
          <w:tcPr>
            <w:tcW w:w="121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21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92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电话</w:t>
            </w:r>
          </w:p>
        </w:tc>
        <w:tc>
          <w:tcPr>
            <w:tcW w:w="87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859"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vMerge w:val="continue"/>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94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传真</w:t>
            </w:r>
          </w:p>
        </w:tc>
        <w:tc>
          <w:tcPr>
            <w:tcW w:w="121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21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92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网址</w:t>
            </w:r>
          </w:p>
        </w:tc>
        <w:tc>
          <w:tcPr>
            <w:tcW w:w="87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859"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组织结构</w:t>
            </w:r>
          </w:p>
        </w:tc>
        <w:tc>
          <w:tcPr>
            <w:tcW w:w="7028" w:type="dxa"/>
            <w:gridSpan w:val="6"/>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法定代表人</w:t>
            </w:r>
          </w:p>
        </w:tc>
        <w:tc>
          <w:tcPr>
            <w:tcW w:w="94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姓名</w:t>
            </w:r>
          </w:p>
        </w:tc>
        <w:tc>
          <w:tcPr>
            <w:tcW w:w="121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21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技术职称</w:t>
            </w:r>
          </w:p>
        </w:tc>
        <w:tc>
          <w:tcPr>
            <w:tcW w:w="192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87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电话</w:t>
            </w:r>
          </w:p>
        </w:tc>
        <w:tc>
          <w:tcPr>
            <w:tcW w:w="859"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技术负责人</w:t>
            </w:r>
          </w:p>
        </w:tc>
        <w:tc>
          <w:tcPr>
            <w:tcW w:w="94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姓名</w:t>
            </w:r>
          </w:p>
        </w:tc>
        <w:tc>
          <w:tcPr>
            <w:tcW w:w="121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21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技术职称</w:t>
            </w:r>
          </w:p>
        </w:tc>
        <w:tc>
          <w:tcPr>
            <w:tcW w:w="192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87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电话</w:t>
            </w:r>
          </w:p>
        </w:tc>
        <w:tc>
          <w:tcPr>
            <w:tcW w:w="859"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成立时间</w:t>
            </w:r>
          </w:p>
        </w:tc>
        <w:tc>
          <w:tcPr>
            <w:tcW w:w="2157" w:type="dxa"/>
            <w:gridSpan w:val="2"/>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4871" w:type="dxa"/>
            <w:gridSpan w:val="4"/>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口员工总人数：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企业资质</w:t>
            </w:r>
          </w:p>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等级</w:t>
            </w:r>
          </w:p>
        </w:tc>
        <w:tc>
          <w:tcPr>
            <w:tcW w:w="94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21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217" w:type="dxa"/>
            <w:vMerge w:val="restart"/>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其中</w:t>
            </w:r>
          </w:p>
        </w:tc>
        <w:tc>
          <w:tcPr>
            <w:tcW w:w="192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口项目负责人</w:t>
            </w:r>
          </w:p>
        </w:tc>
        <w:tc>
          <w:tcPr>
            <w:tcW w:w="1729" w:type="dxa"/>
            <w:gridSpan w:val="2"/>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营业执照号</w:t>
            </w:r>
          </w:p>
        </w:tc>
        <w:tc>
          <w:tcPr>
            <w:tcW w:w="94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21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217" w:type="dxa"/>
            <w:vMerge w:val="continue"/>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92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口高级职称人员</w:t>
            </w:r>
          </w:p>
        </w:tc>
        <w:tc>
          <w:tcPr>
            <w:tcW w:w="1729" w:type="dxa"/>
            <w:gridSpan w:val="2"/>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注册资金</w:t>
            </w:r>
          </w:p>
        </w:tc>
        <w:tc>
          <w:tcPr>
            <w:tcW w:w="94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21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217" w:type="dxa"/>
            <w:vMerge w:val="continue"/>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92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口中级职称人员</w:t>
            </w:r>
          </w:p>
        </w:tc>
        <w:tc>
          <w:tcPr>
            <w:tcW w:w="1729" w:type="dxa"/>
            <w:gridSpan w:val="2"/>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开户银行</w:t>
            </w:r>
          </w:p>
        </w:tc>
        <w:tc>
          <w:tcPr>
            <w:tcW w:w="94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21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217" w:type="dxa"/>
            <w:vMerge w:val="continue"/>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92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口初级职称人员</w:t>
            </w:r>
          </w:p>
        </w:tc>
        <w:tc>
          <w:tcPr>
            <w:tcW w:w="1729" w:type="dxa"/>
            <w:gridSpan w:val="2"/>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账号</w:t>
            </w:r>
          </w:p>
        </w:tc>
        <w:tc>
          <w:tcPr>
            <w:tcW w:w="940"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21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217" w:type="dxa"/>
            <w:vMerge w:val="continue"/>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c>
          <w:tcPr>
            <w:tcW w:w="192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口技工</w:t>
            </w:r>
          </w:p>
        </w:tc>
        <w:tc>
          <w:tcPr>
            <w:tcW w:w="1729" w:type="dxa"/>
            <w:gridSpan w:val="2"/>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经营范围</w:t>
            </w:r>
          </w:p>
        </w:tc>
        <w:tc>
          <w:tcPr>
            <w:tcW w:w="7028" w:type="dxa"/>
            <w:gridSpan w:val="6"/>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9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备注</w:t>
            </w:r>
          </w:p>
        </w:tc>
        <w:tc>
          <w:tcPr>
            <w:tcW w:w="7028" w:type="dxa"/>
            <w:gridSpan w:val="6"/>
            <w:tcBorders>
              <w:tl2br w:val="nil"/>
              <w:tr2bl w:val="nil"/>
            </w:tcBorders>
            <w:vAlign w:val="center"/>
          </w:tcPr>
          <w:p>
            <w:pPr>
              <w:adjustRightInd w:val="0"/>
              <w:snapToGrid w:val="0"/>
              <w:jc w:val="center"/>
              <w:rPr>
                <w:rFonts w:hint="default" w:ascii="Times New Roman" w:hAnsi="Times New Roman" w:eastAsia="宋体" w:cs="Times New Roman"/>
                <w:color w:val="auto"/>
                <w:sz w:val="24"/>
              </w:rPr>
            </w:pPr>
          </w:p>
        </w:tc>
      </w:tr>
    </w:tbl>
    <w:p>
      <w:pPr>
        <w:adjustRightInd w:val="0"/>
        <w:snapToGrid w:val="0"/>
        <w:spacing w:line="300" w:lineRule="auto"/>
        <w:jc w:val="left"/>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注：本表后应附企业法人营业执照、资质证书副本等材料的复印件。</w:t>
      </w:r>
    </w:p>
    <w:p>
      <w:pPr>
        <w:widowControl/>
        <w:jc w:val="left"/>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br w:type="page"/>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5、响应方案</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根据评审标准准备，如与上述响应文件重复请注明页码或重复插入。</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6.响应文件澄清说明等其他有关材料</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供应商须知前附表规定的材料或供应商认为需要补充的其他内容，由供应商按实际情况提供或补充。</w:t>
      </w:r>
    </w:p>
    <w:p>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注：供应商应根据供应商须知中的要求在本表后附相关证明材料。</w:t>
      </w:r>
    </w:p>
    <w:p>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7.响应确认函格式</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江苏苏盐井神股份有限公司</w:t>
      </w:r>
      <w:r>
        <w:rPr>
          <w:rFonts w:hint="default" w:ascii="Times New Roman" w:hAnsi="Times New Roman" w:eastAsia="方正仿宋_GBK" w:cs="Times New Roman"/>
          <w:color w:val="auto"/>
          <w:kern w:val="2"/>
          <w:sz w:val="32"/>
          <w:szCs w:val="32"/>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我单位自愿参与贵司将于2024年</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日举行的</w:t>
      </w:r>
      <w:r>
        <w:rPr>
          <w:rFonts w:hint="default" w:ascii="Times New Roman" w:hAnsi="Times New Roman" w:eastAsia="方正仿宋_GBK" w:cs="Times New Roman"/>
          <w:color w:val="auto"/>
          <w:sz w:val="32"/>
          <w:szCs w:val="32"/>
          <w:u w:val="single"/>
        </w:rPr>
        <w:t xml:space="preserve"> “淮盐”品牌策划设计项目</w:t>
      </w:r>
      <w:r>
        <w:rPr>
          <w:rFonts w:hint="default" w:ascii="Times New Roman" w:hAnsi="Times New Roman" w:eastAsia="方正仿宋_GBK" w:cs="Times New Roman"/>
          <w:color w:val="auto"/>
          <w:sz w:val="32"/>
          <w:szCs w:val="32"/>
        </w:rPr>
        <w:t>，已在贵司招标中心官网下载了招标/采购文件及相关资料，现发函确认并做出如下承诺：</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1．同意并接受招标/谈判文件的各项要求，遵守招标/谈判文件中的各项规定，按招标/谈判文件的要求提供报价。</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2．投标/谈判有效期为提交招标/谈判文件之日起60日，中标人/成交人投标/谈判有效期延至合同签收之日。</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3．我方已详细阅读全部招标/谈判文件及其附件，包括澄清及参考文件；我方已完全清晰理解招标/谈判文件的各项要求，不存在任何含糊不清和误解之处，同意放弃对这些文件所提出的异议和质疑的权利。</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4．我方已毫无保留的向贵司提供一切所需的证明材料。</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5．我方承诺在本次招标/响应文件中提供的一切文件，无论是原件还是复印件均为真实和准确的，绝无任何虚假、伪造和夸大的成分，否则，愿承担相应的后果和法律责任。</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6．我方完全服从和尊重评审小组的评审意见，同时清楚理解最低报价并非意味必定获得中标/成交资格。</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地    址： </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电    话： </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电子邮件：</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投标人/响应供应商（法定代表人授权代表）代表签字：</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投标人/响应供应商名称（公章）：</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开户银行：</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账    号：</w:t>
      </w:r>
      <w:r>
        <w:rPr>
          <w:rFonts w:hint="default" w:ascii="Times New Roman" w:hAnsi="Times New Roman" w:eastAsia="方正仿宋_GBK" w:cs="Times New Roman"/>
          <w:color w:val="auto"/>
          <w:kern w:val="2"/>
          <w:sz w:val="32"/>
          <w:szCs w:val="32"/>
          <w:u w:val="single"/>
          <w:lang w:val="en-US" w:eastAsia="zh-CN" w:bidi="ar-SA"/>
        </w:rPr>
        <w:t xml:space="preserve">                                          </w:t>
      </w:r>
    </w:p>
    <w:p>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日    期：</w:t>
      </w:r>
      <w:r>
        <w:rPr>
          <w:rFonts w:hint="default" w:ascii="Times New Roman" w:hAnsi="Times New Roman" w:eastAsia="方正仿宋_GBK" w:cs="Times New Roman"/>
          <w:color w:val="auto"/>
          <w:kern w:val="2"/>
          <w:sz w:val="32"/>
          <w:szCs w:val="32"/>
          <w:u w:val="single"/>
          <w:lang w:val="en-US" w:eastAsia="zh-CN" w:bidi="ar-SA"/>
        </w:rPr>
        <w:t xml:space="preserve">                                          </w:t>
      </w: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wYzdjM2FhNmZiZGY5MTBkM2YwNjRhOGNkZWZhY2IifQ=="/>
  </w:docVars>
  <w:rsids>
    <w:rsidRoot w:val="00172A27"/>
    <w:rsid w:val="070A469E"/>
    <w:rsid w:val="0AD41E0D"/>
    <w:rsid w:val="0F996D33"/>
    <w:rsid w:val="14A56844"/>
    <w:rsid w:val="158F22BD"/>
    <w:rsid w:val="1CA51C0B"/>
    <w:rsid w:val="1DAB38BF"/>
    <w:rsid w:val="221043B2"/>
    <w:rsid w:val="242F1230"/>
    <w:rsid w:val="26C607E4"/>
    <w:rsid w:val="302C41F6"/>
    <w:rsid w:val="3B350656"/>
    <w:rsid w:val="3C751329"/>
    <w:rsid w:val="3F8C0372"/>
    <w:rsid w:val="4B014210"/>
    <w:rsid w:val="525C22CE"/>
    <w:rsid w:val="592A7094"/>
    <w:rsid w:val="5A0912ED"/>
    <w:rsid w:val="5C957C9F"/>
    <w:rsid w:val="60401CB0"/>
    <w:rsid w:val="693A3640"/>
    <w:rsid w:val="694C74CE"/>
    <w:rsid w:val="6D9E10B0"/>
    <w:rsid w:val="6F96201B"/>
    <w:rsid w:val="751F25B4"/>
    <w:rsid w:val="7A94376E"/>
    <w:rsid w:val="7C7E6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unhideWhenUsed/>
    <w:qFormat/>
    <w:uiPriority w:val="0"/>
    <w:pPr>
      <w:spacing w:after="120"/>
    </w:pPr>
    <w:rPr>
      <w:rFonts w:ascii="Times New Roman" w:hAnsi="Times New Roman"/>
      <w:szCs w:val="20"/>
    </w:r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4572</Words>
  <Characters>4769</Characters>
  <Lines>0</Lines>
  <Paragraphs>0</Paragraphs>
  <TotalTime>221</TotalTime>
  <ScaleCrop>false</ScaleCrop>
  <LinksUpToDate>false</LinksUpToDate>
  <CharactersWithSpaces>4816</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2024-02-11T01:57:00Z</dcterms:created>
  <dc:creator>user</dc:creator>
  <cp:lastModifiedBy>刘永春</cp:lastModifiedBy>
  <cp:lastPrinted>2024-02-21T06:32:00Z</cp:lastPrinted>
  <dcterms:modified xsi:type="dcterms:W3CDTF">2024-03-05T06:06:18Z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73D2DCD57140430AA152A3D4E9CD6E95_13</vt:lpwstr>
  </property>
</Properties>
</file>