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41172">
      <w:pPr>
        <w:jc w:val="center"/>
        <w:rPr>
          <w:rFonts w:hint="eastAsia" w:ascii="宋体" w:hAnsi="宋体" w:cs="宋体"/>
          <w:b/>
          <w:bCs/>
          <w:color w:val="auto"/>
          <w:sz w:val="28"/>
          <w:szCs w:val="28"/>
          <w:highlight w:val="none"/>
        </w:rPr>
      </w:pPr>
      <w:r>
        <w:rPr>
          <w:rFonts w:hint="eastAsia" w:ascii="宋体" w:hAnsi="宋体" w:cs="宋体"/>
          <w:b/>
          <w:color w:val="auto"/>
          <w:sz w:val="44"/>
          <w:szCs w:val="36"/>
          <w:highlight w:val="none"/>
        </w:rPr>
        <w:t>询   价   函</w:t>
      </w:r>
    </w:p>
    <w:p w14:paraId="6552089D">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0041BF4D">
      <w:pPr>
        <w:ind w:firstLine="480" w:firstLineChars="2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江苏苏盐井神股份有限公司</w:t>
      </w:r>
      <w:r>
        <w:rPr>
          <w:rFonts w:hint="eastAsia" w:ascii="宋体" w:hAnsi="宋体" w:eastAsia="宋体" w:cs="宋体"/>
          <w:color w:val="auto"/>
          <w:sz w:val="24"/>
          <w:szCs w:val="24"/>
          <w:highlight w:val="none"/>
          <w:shd w:val="clear" w:color="auto" w:fill="auto"/>
          <w:lang w:eastAsia="zh-CN"/>
        </w:rPr>
        <w:t>各分公司需采购食品添加剂聚丙烯酰胺一批（</w:t>
      </w:r>
      <w:r>
        <w:rPr>
          <w:rFonts w:hint="eastAsia" w:ascii="宋体" w:hAnsi="宋体" w:eastAsia="宋体" w:cs="宋体"/>
          <w:color w:val="auto"/>
          <w:sz w:val="24"/>
          <w:szCs w:val="24"/>
          <w:highlight w:val="none"/>
          <w:shd w:val="clear" w:color="auto" w:fill="auto"/>
          <w:lang w:val="en-US" w:eastAsia="zh-CN"/>
        </w:rPr>
        <w:t>年度框架协议</w:t>
      </w:r>
      <w:r>
        <w:rPr>
          <w:rFonts w:hint="eastAsia" w:ascii="宋体" w:hAnsi="宋体" w:eastAsia="宋体" w:cs="宋体"/>
          <w:color w:val="auto"/>
          <w:sz w:val="24"/>
          <w:szCs w:val="24"/>
          <w:highlight w:val="none"/>
          <w:shd w:val="clear" w:color="auto" w:fill="auto"/>
          <w:lang w:eastAsia="zh-CN"/>
        </w:rPr>
        <w:t>）</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343FA97B">
      <w:pPr>
        <w:pStyle w:val="5"/>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2"/>
        <w:tblW w:w="8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4"/>
        <w:gridCol w:w="2580"/>
        <w:gridCol w:w="720"/>
        <w:gridCol w:w="840"/>
        <w:gridCol w:w="1245"/>
        <w:gridCol w:w="990"/>
        <w:gridCol w:w="690"/>
      </w:tblGrid>
      <w:tr w14:paraId="7578B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24" w:type="dxa"/>
            <w:noWrap w:val="0"/>
            <w:vAlign w:val="center"/>
          </w:tcPr>
          <w:p w14:paraId="2AED3333">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产品名称</w:t>
            </w:r>
          </w:p>
        </w:tc>
        <w:tc>
          <w:tcPr>
            <w:tcW w:w="2580" w:type="dxa"/>
            <w:noWrap w:val="0"/>
            <w:vAlign w:val="center"/>
          </w:tcPr>
          <w:p w14:paraId="6E2CB11F">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型号规格</w:t>
            </w:r>
          </w:p>
        </w:tc>
        <w:tc>
          <w:tcPr>
            <w:tcW w:w="720" w:type="dxa"/>
            <w:noWrap w:val="0"/>
            <w:vAlign w:val="center"/>
          </w:tcPr>
          <w:p w14:paraId="1F346F77">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lang w:eastAsia="zh-CN"/>
              </w:rPr>
              <w:t>计量单位</w:t>
            </w:r>
          </w:p>
        </w:tc>
        <w:tc>
          <w:tcPr>
            <w:tcW w:w="840" w:type="dxa"/>
            <w:noWrap w:val="0"/>
            <w:vAlign w:val="center"/>
          </w:tcPr>
          <w:p w14:paraId="3B2CC73B">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数量</w:t>
            </w:r>
          </w:p>
        </w:tc>
        <w:tc>
          <w:tcPr>
            <w:tcW w:w="1245" w:type="dxa"/>
            <w:noWrap w:val="0"/>
            <w:vAlign w:val="center"/>
          </w:tcPr>
          <w:p w14:paraId="7970EAC3">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 w:val="0"/>
                <w:bCs w:val="0"/>
                <w:color w:val="auto"/>
                <w:sz w:val="18"/>
                <w:szCs w:val="18"/>
                <w:shd w:val="clear" w:color="auto" w:fill="auto"/>
              </w:rPr>
            </w:pPr>
            <w:r>
              <w:rPr>
                <w:rFonts w:hint="eastAsia" w:ascii="宋体" w:hAnsi="宋体" w:eastAsia="宋体" w:cs="宋体"/>
                <w:b w:val="0"/>
                <w:bCs w:val="0"/>
                <w:color w:val="auto"/>
                <w:sz w:val="18"/>
                <w:szCs w:val="18"/>
                <w:shd w:val="clear" w:color="auto" w:fill="auto"/>
              </w:rPr>
              <w:t>单价</w:t>
            </w:r>
          </w:p>
          <w:p w14:paraId="5049BAA1">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lang w:val="en-US" w:eastAsia="zh-CN"/>
              </w:rPr>
              <w:t>吨</w:t>
            </w:r>
          </w:p>
        </w:tc>
        <w:tc>
          <w:tcPr>
            <w:tcW w:w="990" w:type="dxa"/>
            <w:noWrap w:val="0"/>
            <w:vAlign w:val="center"/>
          </w:tcPr>
          <w:p w14:paraId="2D85D97A">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 w:val="0"/>
                <w:bCs w:val="0"/>
                <w:color w:val="auto"/>
                <w:sz w:val="18"/>
                <w:szCs w:val="18"/>
                <w:shd w:val="clear" w:color="auto" w:fill="auto"/>
              </w:rPr>
            </w:pPr>
            <w:r>
              <w:rPr>
                <w:rFonts w:hint="eastAsia" w:ascii="宋体" w:hAnsi="宋体" w:eastAsia="宋体" w:cs="宋体"/>
                <w:b w:val="0"/>
                <w:bCs w:val="0"/>
                <w:color w:val="auto"/>
                <w:sz w:val="18"/>
                <w:szCs w:val="18"/>
                <w:shd w:val="clear" w:color="auto" w:fill="auto"/>
              </w:rPr>
              <w:t>金额</w:t>
            </w:r>
          </w:p>
          <w:p w14:paraId="303B5D13">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（元）</w:t>
            </w:r>
          </w:p>
        </w:tc>
        <w:tc>
          <w:tcPr>
            <w:tcW w:w="690" w:type="dxa"/>
            <w:noWrap w:val="0"/>
            <w:vAlign w:val="center"/>
          </w:tcPr>
          <w:p w14:paraId="61B21EB0">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 w:val="0"/>
                <w:bCs w:val="0"/>
                <w:color w:val="auto"/>
                <w:sz w:val="18"/>
                <w:szCs w:val="18"/>
                <w:shd w:val="clear" w:color="auto" w:fill="auto"/>
              </w:rPr>
            </w:pPr>
          </w:p>
        </w:tc>
      </w:tr>
      <w:tr w14:paraId="12893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824" w:type="dxa"/>
            <w:noWrap w:val="0"/>
            <w:vAlign w:val="center"/>
          </w:tcPr>
          <w:p w14:paraId="2A235633">
            <w:pPr>
              <w:widowControl/>
              <w:textAlignment w:val="center"/>
              <w:rPr>
                <w:rFonts w:hint="eastAsia" w:ascii="楷体_GB2312" w:hAnsi="宋体" w:eastAsia="楷体_GB2312"/>
                <w:color w:val="auto"/>
                <w:sz w:val="21"/>
                <w:szCs w:val="21"/>
                <w:vertAlign w:val="baseline"/>
                <w:lang w:eastAsia="zh-CN"/>
              </w:rPr>
            </w:pPr>
            <w:r>
              <w:rPr>
                <w:rFonts w:hint="eastAsia" w:ascii="宋体" w:eastAsia="宋体"/>
                <w:color w:val="auto"/>
                <w:lang w:eastAsia="zh-CN"/>
              </w:rPr>
              <w:t>食品添加剂聚丙烯酰胺</w:t>
            </w:r>
          </w:p>
        </w:tc>
        <w:tc>
          <w:tcPr>
            <w:tcW w:w="2580" w:type="dxa"/>
            <w:noWrap w:val="0"/>
            <w:vAlign w:val="center"/>
          </w:tcPr>
          <w:p w14:paraId="501E6635">
            <w:pPr>
              <w:pStyle w:val="9"/>
              <w:widowControl/>
              <w:wordWrap w:val="0"/>
              <w:spacing w:line="360" w:lineRule="exact"/>
              <w:ind w:left="0" w:leftChars="0" w:right="0" w:rightChars="0"/>
              <w:rPr>
                <w:rFonts w:hint="eastAsia" w:ascii="楷体_GB2312" w:hAnsi="宋体" w:eastAsia="楷体_GB2312"/>
                <w:color w:val="auto"/>
                <w:sz w:val="21"/>
                <w:szCs w:val="21"/>
                <w:vertAlign w:val="baseline"/>
              </w:rPr>
            </w:pPr>
            <w:r>
              <w:rPr>
                <w:rFonts w:hint="eastAsia" w:ascii="宋体" w:hAnsi="宋体" w:eastAsia="宋体" w:cs="Courier New"/>
                <w:color w:val="auto"/>
                <w:szCs w:val="21"/>
                <w:lang w:eastAsia="zh-CN" w:bidi="en-US"/>
              </w:rPr>
              <w:t>符合</w:t>
            </w:r>
            <w:r>
              <w:rPr>
                <w:rFonts w:hint="eastAsia" w:ascii="宋体" w:hAnsi="宋体" w:eastAsia="Courier New" w:cs="Courier New"/>
                <w:color w:val="auto"/>
                <w:szCs w:val="21"/>
                <w:lang w:bidi="en-US"/>
              </w:rPr>
              <w:t xml:space="preserve">《食品安全国家标准 食品添加剂 </w:t>
            </w:r>
            <w:r>
              <w:rPr>
                <w:rFonts w:hint="eastAsia" w:ascii="宋体" w:hAnsi="宋体" w:eastAsia="宋体" w:cs="Courier New"/>
                <w:color w:val="auto"/>
                <w:szCs w:val="21"/>
                <w:lang w:eastAsia="zh-CN" w:bidi="en-US"/>
              </w:rPr>
              <w:t>聚丙烯酰胺</w:t>
            </w:r>
            <w:r>
              <w:rPr>
                <w:rFonts w:hint="eastAsia" w:ascii="宋体" w:hAnsi="宋体" w:eastAsia="Courier New" w:cs="Courier New"/>
                <w:color w:val="auto"/>
                <w:szCs w:val="21"/>
                <w:lang w:bidi="en-US"/>
              </w:rPr>
              <w:t>》GB</w:t>
            </w:r>
            <w:r>
              <w:rPr>
                <w:rFonts w:hint="eastAsia" w:ascii="宋体" w:hAnsi="宋体" w:eastAsia="宋体" w:cs="Courier New"/>
                <w:color w:val="auto"/>
                <w:szCs w:val="21"/>
                <w:lang w:val="en-US" w:eastAsia="zh-CN" w:bidi="en-US"/>
              </w:rPr>
              <w:t>31629-2014</w:t>
            </w:r>
          </w:p>
        </w:tc>
        <w:tc>
          <w:tcPr>
            <w:tcW w:w="720" w:type="dxa"/>
            <w:noWrap w:val="0"/>
            <w:vAlign w:val="center"/>
          </w:tcPr>
          <w:p w14:paraId="7DC56CC4">
            <w:pPr>
              <w:widowControl/>
              <w:spacing w:line="600" w:lineRule="exact"/>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color w:val="auto"/>
                <w:sz w:val="21"/>
                <w:szCs w:val="21"/>
                <w:lang w:eastAsia="zh-CN"/>
              </w:rPr>
              <w:t>吨</w:t>
            </w:r>
          </w:p>
        </w:tc>
        <w:tc>
          <w:tcPr>
            <w:tcW w:w="840" w:type="dxa"/>
            <w:noWrap w:val="0"/>
            <w:vAlign w:val="center"/>
          </w:tcPr>
          <w:p w14:paraId="31AB8418">
            <w:pPr>
              <w:widowControl/>
              <w:spacing w:line="600" w:lineRule="exact"/>
              <w:jc w:val="center"/>
              <w:textAlignment w:val="center"/>
              <w:rPr>
                <w:rFonts w:hint="default" w:ascii="楷体_GB2312" w:hAnsi="宋体" w:eastAsia="楷体_GB2312" w:cs="Courier New"/>
                <w:color w:val="auto"/>
                <w:sz w:val="18"/>
                <w:szCs w:val="18"/>
                <w:vertAlign w:val="baseline"/>
                <w:lang w:val="en-US" w:eastAsia="zh-CN" w:bidi="en-US"/>
              </w:rPr>
            </w:pPr>
            <w:r>
              <w:rPr>
                <w:rFonts w:hint="eastAsia" w:ascii="楷体_GB2312" w:hAnsi="宋体" w:eastAsia="楷体_GB2312" w:cs="Courier New"/>
                <w:color w:val="auto"/>
                <w:sz w:val="18"/>
                <w:szCs w:val="18"/>
                <w:vertAlign w:val="baseline"/>
                <w:lang w:val="en-US" w:eastAsia="zh-CN" w:bidi="en-US"/>
              </w:rPr>
              <w:t>12</w:t>
            </w:r>
          </w:p>
        </w:tc>
        <w:tc>
          <w:tcPr>
            <w:tcW w:w="1245" w:type="dxa"/>
            <w:noWrap w:val="0"/>
            <w:vAlign w:val="center"/>
          </w:tcPr>
          <w:p w14:paraId="451D282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990" w:type="dxa"/>
            <w:noWrap w:val="0"/>
            <w:vAlign w:val="center"/>
          </w:tcPr>
          <w:p w14:paraId="611895E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90" w:type="dxa"/>
            <w:noWrap w:val="0"/>
            <w:vAlign w:val="center"/>
          </w:tcPr>
          <w:p w14:paraId="3A942B6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18"/>
                <w:szCs w:val="18"/>
                <w:u w:val="none"/>
                <w:lang w:val="en-US" w:eastAsia="zh-CN" w:bidi="ar"/>
              </w:rPr>
            </w:pPr>
          </w:p>
        </w:tc>
      </w:tr>
      <w:tr w14:paraId="2DB7B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964" w:type="dxa"/>
            <w:gridSpan w:val="4"/>
            <w:noWrap w:val="0"/>
            <w:vAlign w:val="center"/>
          </w:tcPr>
          <w:p w14:paraId="3902F791">
            <w:pPr>
              <w:numPr>
                <w:ilvl w:val="0"/>
                <w:numId w:val="0"/>
              </w:numPr>
              <w:ind w:left="768" w:leftChars="0"/>
              <w:rPr>
                <w:rFonts w:hint="eastAsia"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年度框架协议预估金额：按实结算，单价不变。</w:t>
            </w:r>
          </w:p>
        </w:tc>
        <w:tc>
          <w:tcPr>
            <w:tcW w:w="2925" w:type="dxa"/>
            <w:gridSpan w:val="3"/>
            <w:noWrap w:val="0"/>
            <w:vAlign w:val="center"/>
          </w:tcPr>
          <w:p w14:paraId="01591B0F">
            <w:pPr>
              <w:numPr>
                <w:ilvl w:val="0"/>
                <w:numId w:val="0"/>
              </w:numPr>
              <w:rPr>
                <w:rFonts w:hint="eastAsia"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交货期：年度框架协议生效后，按需通知5日内送货，</w:t>
            </w:r>
          </w:p>
        </w:tc>
      </w:tr>
    </w:tbl>
    <w:p w14:paraId="6A2900A1">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5C6AF7BA">
      <w:pPr>
        <w:numPr>
          <w:ilvl w:val="0"/>
          <w:numId w:val="1"/>
        </w:numPr>
        <w:ind w:left="0" w:leftChars="0" w:firstLine="420" w:firstLineChars="175"/>
        <w:rPr>
          <w:rFonts w:hint="eastAsia"/>
          <w:color w:val="auto"/>
          <w:highlight w:val="none"/>
          <w:shd w:val="clear" w:color="auto" w:fill="auto"/>
        </w:rPr>
      </w:pPr>
      <w:r>
        <w:rPr>
          <w:rFonts w:hint="eastAsia" w:ascii="宋体" w:hAnsi="宋体" w:cs="宋体"/>
          <w:kern w:val="0"/>
          <w:sz w:val="24"/>
        </w:rPr>
        <w:t>请贵单位于202</w:t>
      </w:r>
      <w:r>
        <w:rPr>
          <w:rFonts w:hint="eastAsia" w:ascii="宋体" w:hAnsi="宋体" w:cs="宋体"/>
          <w:kern w:val="0"/>
          <w:sz w:val="24"/>
          <w:lang w:val="en-US" w:eastAsia="zh-CN"/>
        </w:rPr>
        <w:t>5</w:t>
      </w:r>
      <w:r>
        <w:rPr>
          <w:rFonts w:hint="eastAsia" w:ascii="宋体" w:hAnsi="宋体" w:cs="宋体"/>
          <w:kern w:val="0"/>
          <w:sz w:val="24"/>
        </w:rPr>
        <w:t>年</w:t>
      </w:r>
      <w:r>
        <w:rPr>
          <w:rFonts w:hint="eastAsia" w:ascii="宋体" w:hAnsi="宋体" w:eastAsia="宋体" w:cs="宋体"/>
          <w:kern w:val="0"/>
          <w:sz w:val="24"/>
          <w:lang w:val="en-US" w:eastAsia="zh-CN"/>
        </w:rPr>
        <w:t>8</w:t>
      </w:r>
      <w:r>
        <w:rPr>
          <w:rFonts w:hint="eastAsia" w:ascii="宋体" w:hAnsi="宋体" w:cs="宋体"/>
          <w:kern w:val="0"/>
          <w:sz w:val="24"/>
          <w:lang w:val="en-US" w:eastAsia="zh-CN"/>
        </w:rPr>
        <w:t xml:space="preserve"> </w:t>
      </w:r>
      <w:r>
        <w:rPr>
          <w:rFonts w:hint="eastAsia" w:ascii="宋体" w:hAnsi="宋体" w:cs="宋体"/>
          <w:kern w:val="0"/>
          <w:sz w:val="24"/>
        </w:rPr>
        <w:t>月</w:t>
      </w:r>
      <w:r>
        <w:rPr>
          <w:rFonts w:hint="eastAsia" w:ascii="宋体" w:hAnsi="宋体" w:cs="宋体"/>
          <w:kern w:val="0"/>
          <w:sz w:val="24"/>
          <w:lang w:val="en-US" w:eastAsia="zh-CN"/>
        </w:rPr>
        <w:t xml:space="preserve"> 21 </w:t>
      </w:r>
      <w:r>
        <w:rPr>
          <w:rFonts w:hint="eastAsia" w:ascii="宋体" w:hAnsi="宋体" w:cs="宋体"/>
          <w:kern w:val="0"/>
          <w:sz w:val="24"/>
        </w:rPr>
        <w:t>日9:00点前</w:t>
      </w:r>
      <w:r>
        <w:rPr>
          <w:rFonts w:hint="eastAsia" w:ascii="宋体" w:hAnsi="宋体" w:eastAsia="宋体" w:cs="宋体"/>
          <w:sz w:val="24"/>
          <w:szCs w:val="24"/>
        </w:rPr>
        <w:t>登录苏盐井神招标与采购管理平台（http://cgpt.jssyjsgf.com/</w:t>
      </w:r>
      <w:r>
        <w:rPr>
          <w:rFonts w:hint="eastAsia" w:ascii="宋体" w:hAnsi="宋体" w:eastAsia="宋体" w:cs="宋体"/>
          <w:sz w:val="24"/>
          <w:szCs w:val="24"/>
          <w:lang w:eastAsia="zh-CN"/>
        </w:rPr>
        <w:t>，需先行注册</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color w:val="000000"/>
          <w:sz w:val="24"/>
          <w:szCs w:val="24"/>
        </w:rPr>
        <w:t>将</w:t>
      </w:r>
      <w:r>
        <w:rPr>
          <w:rFonts w:hint="eastAsia" w:ascii="宋体" w:hAnsi="宋体" w:eastAsia="宋体" w:cs="宋体"/>
          <w:color w:val="000000"/>
          <w:sz w:val="24"/>
          <w:szCs w:val="24"/>
          <w:lang w:eastAsia="zh-CN"/>
        </w:rPr>
        <w:t>报价</w:t>
      </w:r>
      <w:r>
        <w:rPr>
          <w:rFonts w:hint="eastAsia" w:ascii="宋体" w:hAnsi="宋体" w:eastAsia="宋体" w:cs="宋体"/>
          <w:color w:val="000000"/>
          <w:sz w:val="24"/>
          <w:szCs w:val="24"/>
        </w:rPr>
        <w:t>文件在</w:t>
      </w:r>
      <w:r>
        <w:rPr>
          <w:rFonts w:hint="eastAsia" w:ascii="宋体" w:hAnsi="宋体" w:eastAsia="宋体" w:cs="宋体"/>
          <w:color w:val="000000"/>
          <w:sz w:val="24"/>
          <w:szCs w:val="24"/>
          <w:lang w:eastAsia="zh-CN"/>
        </w:rPr>
        <w:t>报价</w:t>
      </w:r>
      <w:r>
        <w:rPr>
          <w:rFonts w:hint="eastAsia" w:ascii="宋体" w:hAnsi="宋体" w:eastAsia="宋体" w:cs="宋体"/>
          <w:color w:val="000000"/>
          <w:sz w:val="24"/>
          <w:szCs w:val="24"/>
        </w:rPr>
        <w:t>时间</w:t>
      </w:r>
      <w:r>
        <w:rPr>
          <w:rFonts w:hint="eastAsia" w:ascii="宋体" w:hAnsi="宋体" w:eastAsia="宋体" w:cs="宋体"/>
          <w:color w:val="000000"/>
          <w:sz w:val="24"/>
          <w:szCs w:val="24"/>
          <w:lang w:eastAsia="zh-CN"/>
        </w:rPr>
        <w:t>截止</w:t>
      </w:r>
      <w:r>
        <w:rPr>
          <w:rFonts w:hint="eastAsia" w:ascii="宋体" w:hAnsi="宋体" w:eastAsia="宋体" w:cs="宋体"/>
          <w:color w:val="000000"/>
          <w:sz w:val="24"/>
          <w:szCs w:val="24"/>
        </w:rPr>
        <w:t>前扫描</w:t>
      </w:r>
      <w:r>
        <w:rPr>
          <w:rFonts w:hint="eastAsia" w:ascii="宋体" w:hAnsi="宋体" w:eastAsia="宋体" w:cs="宋体"/>
          <w:color w:val="000000"/>
          <w:sz w:val="24"/>
          <w:szCs w:val="24"/>
          <w:lang w:eastAsia="zh-CN"/>
        </w:rPr>
        <w:t>上传，报价文件名称（</w:t>
      </w:r>
      <w:r>
        <w:rPr>
          <w:rFonts w:hint="eastAsia" w:ascii="宋体" w:hAnsi="宋体" w:eastAsia="宋体" w:cs="宋体"/>
          <w:color w:val="000000"/>
          <w:sz w:val="24"/>
          <w:szCs w:val="24"/>
        </w:rPr>
        <w:t>物资名称+联系人+报价单位）</w:t>
      </w:r>
      <w:r>
        <w:rPr>
          <w:rFonts w:hint="eastAsia" w:ascii="宋体" w:hAnsi="宋体" w:eastAsia="宋体" w:cs="宋体"/>
          <w:color w:val="000000"/>
          <w:sz w:val="24"/>
          <w:szCs w:val="24"/>
          <w:lang w:eastAsia="zh-CN"/>
        </w:rPr>
        <w:t>，</w:t>
      </w:r>
      <w:r>
        <w:rPr>
          <w:rFonts w:hint="eastAsia" w:ascii="宋体" w:hAnsi="宋体" w:cs="宋体"/>
          <w:kern w:val="0"/>
          <w:sz w:val="24"/>
        </w:rPr>
        <w:t>报价文件必须详细注明所报价产品型号规格、单价、总价（</w:t>
      </w:r>
      <w:r>
        <w:rPr>
          <w:rFonts w:hint="eastAsia" w:ascii="宋体" w:hAnsi="宋体" w:cs="宋体"/>
          <w:sz w:val="24"/>
        </w:rPr>
        <w:t>含13%增值税的交货价，包括但不限于设计费、包装费、运输费、卸货费、保险费、指导安装费、调试费、技术服务费、技术图纸资料费等其它一切费用</w:t>
      </w:r>
      <w:r>
        <w:rPr>
          <w:rFonts w:hint="eastAsia" w:ascii="宋体" w:hAnsi="宋体" w:cs="宋体"/>
          <w:kern w:val="0"/>
          <w:sz w:val="24"/>
        </w:rPr>
        <w:t>）</w:t>
      </w:r>
      <w:r>
        <w:rPr>
          <w:rFonts w:hint="eastAsia" w:ascii="宋体" w:hAnsi="宋体" w:cs="宋体"/>
          <w:color w:val="auto"/>
          <w:kern w:val="0"/>
          <w:sz w:val="24"/>
          <w:highlight w:val="none"/>
          <w:shd w:val="clear" w:color="auto" w:fill="auto"/>
        </w:rPr>
        <w:t>。</w:t>
      </w:r>
    </w:p>
    <w:p w14:paraId="6C913A40">
      <w:pPr>
        <w:numPr>
          <w:ilvl w:val="0"/>
          <w:numId w:val="1"/>
        </w:numPr>
        <w:ind w:firstLine="420" w:firstLineChars="175"/>
        <w:rPr>
          <w:rFonts w:ascii="宋体" w:hAnsi="宋体" w:cs="宋体"/>
          <w:kern w:val="0"/>
          <w:sz w:val="24"/>
        </w:rPr>
      </w:pPr>
      <w:r>
        <w:rPr>
          <w:rFonts w:hint="eastAsia" w:ascii="宋体" w:hAnsi="宋体" w:cs="宋体"/>
          <w:color w:val="auto"/>
          <w:kern w:val="0"/>
          <w:sz w:val="24"/>
          <w:szCs w:val="24"/>
          <w:highlight w:val="none"/>
          <w:shd w:val="clear" w:color="auto" w:fill="auto"/>
          <w:lang w:val="en-US" w:eastAsia="zh-CN"/>
        </w:rPr>
        <w:t>评</w:t>
      </w:r>
      <w:r>
        <w:rPr>
          <w:rFonts w:hint="eastAsia" w:ascii="宋体" w:hAnsi="宋体" w:cs="宋体"/>
          <w:kern w:val="0"/>
          <w:sz w:val="24"/>
        </w:rPr>
        <w:t>评审步骤：首先进行资格审查、其次进行符合性审查（详见附件一）；最后进行评审（详见附件二）。</w:t>
      </w:r>
    </w:p>
    <w:p w14:paraId="73F3F851">
      <w:pPr>
        <w:numPr>
          <w:ilvl w:val="0"/>
          <w:numId w:val="1"/>
        </w:numPr>
        <w:ind w:firstLine="420" w:firstLineChars="175"/>
        <w:rPr>
          <w:rFonts w:hint="eastAsia" w:ascii="宋体" w:hAnsi="宋体" w:cs="宋体"/>
          <w:kern w:val="0"/>
          <w:sz w:val="24"/>
        </w:rPr>
      </w:pPr>
      <w:r>
        <w:rPr>
          <w:rFonts w:hint="eastAsia" w:ascii="宋体" w:hAnsi="宋体" w:cs="宋体"/>
          <w:kern w:val="0"/>
          <w:sz w:val="24"/>
        </w:rPr>
        <w:t>合同主要条款见附件三合同主要条款。</w:t>
      </w:r>
    </w:p>
    <w:p w14:paraId="6F0E3297">
      <w:pPr>
        <w:numPr>
          <w:ilvl w:val="0"/>
          <w:numId w:val="1"/>
        </w:numPr>
        <w:ind w:firstLine="420" w:firstLineChars="175"/>
        <w:rPr>
          <w:rFonts w:hint="eastAsia" w:ascii="宋体" w:hAnsi="宋体" w:cs="宋体"/>
          <w:kern w:val="0"/>
          <w:sz w:val="24"/>
        </w:rPr>
      </w:pPr>
      <w:r>
        <w:rPr>
          <w:rFonts w:hint="eastAsia" w:ascii="宋体" w:hAnsi="宋体" w:cs="宋体"/>
          <w:color w:val="auto"/>
          <w:kern w:val="0"/>
          <w:sz w:val="24"/>
        </w:rPr>
        <w:t>具体技术要求详见附件四技术标准和要求。</w:t>
      </w:r>
    </w:p>
    <w:p w14:paraId="08FF17B0">
      <w:pPr>
        <w:numPr>
          <w:ilvl w:val="0"/>
          <w:numId w:val="1"/>
        </w:numPr>
        <w:ind w:firstLine="420" w:firstLineChars="175"/>
        <w:rPr>
          <w:rFonts w:hint="eastAsia" w:ascii="宋体" w:hAnsi="宋体" w:cs="宋体"/>
          <w:kern w:val="0"/>
          <w:sz w:val="24"/>
        </w:rPr>
      </w:pPr>
      <w:r>
        <w:rPr>
          <w:rFonts w:hint="eastAsia" w:ascii="宋体" w:hAnsi="宋体" w:cs="宋体"/>
          <w:kern w:val="0"/>
          <w:sz w:val="24"/>
        </w:rPr>
        <w:t>投选人报价格式见附件五</w:t>
      </w:r>
      <w:r>
        <w:rPr>
          <w:rFonts w:hint="eastAsia" w:ascii="宋体" w:hAnsi="宋体" w:cs="宋体"/>
          <w:sz w:val="24"/>
        </w:rPr>
        <w:t>报价单位报价文件格式</w:t>
      </w:r>
      <w:r>
        <w:rPr>
          <w:rFonts w:hint="eastAsia" w:ascii="宋体" w:hAnsi="宋体" w:cs="宋体"/>
          <w:kern w:val="0"/>
          <w:sz w:val="24"/>
        </w:rPr>
        <w:t>。</w:t>
      </w:r>
    </w:p>
    <w:p w14:paraId="0F133FAF">
      <w:pPr>
        <w:numPr>
          <w:ilvl w:val="0"/>
          <w:numId w:val="1"/>
        </w:numPr>
        <w:ind w:firstLine="420" w:firstLineChars="175"/>
        <w:rPr>
          <w:rFonts w:hint="eastAsia" w:ascii="宋体" w:hAnsi="宋体" w:cs="宋体"/>
          <w:sz w:val="24"/>
        </w:rPr>
      </w:pPr>
      <w:r>
        <w:rPr>
          <w:rFonts w:hint="eastAsia" w:ascii="宋体" w:hAnsi="宋体" w:cs="宋体"/>
          <w:kern w:val="0"/>
          <w:sz w:val="24"/>
        </w:rPr>
        <w:t>所报产品必须完全满足我公司设备配套合格使用。</w:t>
      </w:r>
    </w:p>
    <w:p w14:paraId="2C2AFD87">
      <w:pPr>
        <w:numPr>
          <w:ilvl w:val="0"/>
          <w:numId w:val="1"/>
        </w:numPr>
        <w:ind w:firstLine="420" w:firstLineChars="175"/>
        <w:rPr>
          <w:rFonts w:hint="eastAsia" w:ascii="宋体" w:hAnsi="宋体" w:cs="宋体"/>
          <w:sz w:val="24"/>
        </w:rPr>
      </w:pPr>
      <w:r>
        <w:rPr>
          <w:rFonts w:hint="eastAsia" w:ascii="宋体" w:hAnsi="宋体" w:cs="宋体"/>
          <w:color w:val="FF0000"/>
          <w:kern w:val="0"/>
          <w:sz w:val="24"/>
        </w:rPr>
        <w:t>所有报价文件必须盖章后上传，否则视为无效报价。</w:t>
      </w:r>
    </w:p>
    <w:p w14:paraId="1C000723">
      <w:pPr>
        <w:pStyle w:val="10"/>
        <w:numPr>
          <w:ilvl w:val="0"/>
          <w:numId w:val="0"/>
        </w:numPr>
        <w:ind w:firstLine="480" w:firstLineChars="200"/>
        <w:jc w:val="left"/>
        <w:rPr>
          <w:rFonts w:ascii="宋体" w:hAnsi="宋体" w:cs="宋体"/>
          <w:color w:val="auto"/>
          <w:kern w:val="0"/>
          <w:sz w:val="24"/>
          <w:szCs w:val="24"/>
          <w:highlight w:val="none"/>
          <w:shd w:val="clear" w:color="auto" w:fill="auto"/>
        </w:rPr>
      </w:pP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交货地点：江苏苏盐井神股份有限公司</w:t>
      </w:r>
      <w:r>
        <w:rPr>
          <w:rFonts w:hint="eastAsia" w:ascii="宋体" w:hAnsi="宋体" w:eastAsia="宋体" w:cs="宋体"/>
          <w:color w:val="000000"/>
          <w:sz w:val="24"/>
          <w:szCs w:val="24"/>
          <w:lang w:eastAsia="zh-CN"/>
        </w:rPr>
        <w:t>第一分公司、第二分公司</w:t>
      </w:r>
      <w:r>
        <w:rPr>
          <w:rFonts w:hint="eastAsia" w:ascii="宋体" w:hAnsi="宋体" w:cs="宋体"/>
          <w:b/>
          <w:bCs/>
          <w:color w:val="0000FF"/>
          <w:kern w:val="0"/>
          <w:sz w:val="28"/>
          <w:szCs w:val="28"/>
          <w:highlight w:val="none"/>
          <w:shd w:val="clear" w:color="auto" w:fill="auto"/>
          <w:lang w:eastAsia="zh-CN"/>
        </w:rPr>
        <w:t>。</w:t>
      </w:r>
    </w:p>
    <w:p w14:paraId="56B05231">
      <w:pPr>
        <w:numPr>
          <w:ilvl w:val="0"/>
          <w:numId w:val="0"/>
        </w:numPr>
        <w:ind w:left="840" w:leftChars="0"/>
        <w:rPr>
          <w:rFonts w:hint="eastAsia" w:ascii="宋体" w:hAnsi="宋体" w:cs="宋体"/>
          <w:color w:val="auto"/>
          <w:kern w:val="0"/>
          <w:sz w:val="24"/>
          <w:highlight w:val="none"/>
          <w:shd w:val="clear" w:color="auto" w:fill="auto"/>
        </w:rPr>
      </w:pPr>
    </w:p>
    <w:p w14:paraId="13E125AD">
      <w:pPr>
        <w:pStyle w:val="5"/>
        <w:rPr>
          <w:rFonts w:hint="eastAsia"/>
        </w:rPr>
      </w:pPr>
    </w:p>
    <w:p w14:paraId="2C222AF6">
      <w:pPr>
        <w:pStyle w:val="9"/>
        <w:widowControl/>
        <w:wordWrap w:val="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eastAsia="zh-CN"/>
        </w:rPr>
        <w:t>于成君</w:t>
      </w:r>
      <w:r>
        <w:rPr>
          <w:rFonts w:hint="eastAsia" w:ascii="宋体" w:hAnsi="宋体" w:eastAsia="宋体" w:cs="宋体"/>
          <w:color w:val="auto"/>
          <w:highlight w:val="none"/>
        </w:rPr>
        <w:t xml:space="preserve"> </w:t>
      </w:r>
    </w:p>
    <w:p w14:paraId="5B9C9C5B">
      <w:pPr>
        <w:spacing w:line="360" w:lineRule="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联系电话：13625146182</w:t>
      </w:r>
    </w:p>
    <w:p w14:paraId="1A8DC0B1">
      <w:pPr>
        <w:spacing w:line="360" w:lineRule="auto"/>
        <w:rPr>
          <w:rFonts w:hint="eastAsia" w:ascii="宋体" w:hAnsi="宋体" w:cs="宋体"/>
          <w:color w:val="auto"/>
          <w:sz w:val="24"/>
          <w:highlight w:val="none"/>
        </w:rPr>
      </w:pPr>
      <w:bookmarkStart w:id="3" w:name="_GoBack"/>
      <w:r>
        <w:rPr>
          <w:rFonts w:hint="eastAsia" w:ascii="宋体" w:hAnsi="宋体" w:cs="宋体"/>
          <w:color w:val="auto"/>
          <w:sz w:val="24"/>
          <w:highlight w:val="none"/>
        </w:rPr>
        <w:t>地  址：江苏省淮安市淮安区井神路1号       邮  编：223200</w:t>
      </w:r>
    </w:p>
    <w:bookmarkEnd w:id="3"/>
    <w:p w14:paraId="27D7014D">
      <w:pPr>
        <w:ind w:firstLine="4320" w:firstLineChars="1800"/>
        <w:rPr>
          <w:rFonts w:hint="eastAsia" w:ascii="宋体" w:hAnsi="宋体" w:cs="宋体"/>
          <w:color w:val="auto"/>
          <w:sz w:val="24"/>
          <w:highlight w:val="none"/>
        </w:rPr>
      </w:pPr>
      <w:r>
        <w:rPr>
          <w:rFonts w:hint="eastAsia" w:ascii="宋体" w:hAnsi="宋体" w:cs="宋体"/>
          <w:color w:val="auto"/>
          <w:sz w:val="24"/>
          <w:highlight w:val="none"/>
        </w:rPr>
        <w:t>江苏苏盐井神股份有限公司采供中心</w:t>
      </w:r>
    </w:p>
    <w:p w14:paraId="1A1C00E2">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415B2745">
      <w:pPr>
        <w:ind w:firstLine="5280" w:firstLineChars="22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2025年8月13日</w:t>
      </w:r>
    </w:p>
    <w:p w14:paraId="64C48851">
      <w:pPr>
        <w:adjustRightInd w:val="0"/>
        <w:snapToGrid w:val="0"/>
        <w:spacing w:line="300" w:lineRule="auto"/>
        <w:ind w:firstLine="480" w:firstLineChars="200"/>
        <w:rPr>
          <w:rFonts w:hint="eastAsia" w:cs="仿宋"/>
          <w:lang w:eastAsia="zh-CN"/>
        </w:rPr>
      </w:pPr>
      <w:bookmarkStart w:id="0" w:name="_Toc399159027"/>
      <w:bookmarkStart w:id="1" w:name="_Toc399158923"/>
      <w:bookmarkStart w:id="2" w:name="_Toc399159413"/>
    </w:p>
    <w:p w14:paraId="6B3335A9">
      <w:pPr>
        <w:spacing w:line="360" w:lineRule="auto"/>
        <w:rPr>
          <w:rFonts w:hint="eastAsia" w:ascii="仿宋" w:hAnsi="仿宋" w:eastAsia="仿宋" w:cs="仿宋"/>
          <w:b/>
          <w:bCs/>
          <w:color w:val="auto"/>
          <w:sz w:val="28"/>
          <w:szCs w:val="28"/>
          <w:highlight w:val="none"/>
          <w:lang w:val="en-US" w:eastAsia="zh-CN"/>
        </w:rPr>
      </w:pPr>
    </w:p>
    <w:p w14:paraId="6D3DCF9E">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审查程序</w:t>
      </w:r>
      <w:bookmarkEnd w:id="0"/>
      <w:bookmarkEnd w:id="1"/>
      <w:bookmarkEnd w:id="2"/>
    </w:p>
    <w:p w14:paraId="751FD747">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1323F4C1">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7698701B">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1"/>
        <w:tblW w:w="9143"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3464"/>
        <w:gridCol w:w="2671"/>
        <w:gridCol w:w="2190"/>
      </w:tblGrid>
      <w:tr w14:paraId="43A9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8" w:type="dxa"/>
            <w:noWrap w:val="0"/>
            <w:vAlign w:val="center"/>
          </w:tcPr>
          <w:p w14:paraId="758FE34C">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464" w:type="dxa"/>
            <w:noWrap w:val="0"/>
            <w:vAlign w:val="center"/>
          </w:tcPr>
          <w:p w14:paraId="68B96D7C">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671" w:type="dxa"/>
            <w:noWrap w:val="0"/>
            <w:vAlign w:val="center"/>
          </w:tcPr>
          <w:p w14:paraId="261AC81F">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190" w:type="dxa"/>
            <w:noWrap w:val="0"/>
            <w:vAlign w:val="center"/>
          </w:tcPr>
          <w:p w14:paraId="18E11F3C">
            <w:pPr>
              <w:pStyle w:val="41"/>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67F8F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818" w:type="dxa"/>
            <w:noWrap w:val="0"/>
            <w:vAlign w:val="center"/>
          </w:tcPr>
          <w:p w14:paraId="4EF27A50">
            <w:pPr>
              <w:pStyle w:val="41"/>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464" w:type="dxa"/>
            <w:noWrap w:val="0"/>
            <w:vAlign w:val="center"/>
          </w:tcPr>
          <w:p w14:paraId="577CD65C">
            <w:pPr>
              <w:adjustRightInd w:val="0"/>
              <w:snapToGrid w:val="0"/>
              <w:spacing w:line="400" w:lineRule="exact"/>
              <w:jc w:val="both"/>
              <w:rPr>
                <w:rFonts w:hint="eastAsia" w:ascii="宋体" w:hAnsi="宋体" w:eastAsia="Courier New" w:cs="Courier New"/>
                <w:color w:val="000000"/>
                <w:kern w:val="2"/>
                <w:sz w:val="21"/>
                <w:szCs w:val="21"/>
                <w:lang w:val="en-US" w:eastAsia="zh-CN" w:bidi="en-US"/>
              </w:rPr>
            </w:pPr>
            <w:r>
              <w:rPr>
                <w:rFonts w:hint="eastAsia" w:ascii="宋体" w:hAnsi="宋体" w:eastAsia="宋体"/>
                <w:color w:val="auto"/>
                <w:szCs w:val="21"/>
                <w:highlight w:val="none"/>
                <w:lang w:eastAsia="zh-CN"/>
              </w:rPr>
              <w:t>报价人</w:t>
            </w:r>
            <w:r>
              <w:rPr>
                <w:rFonts w:hint="eastAsia" w:ascii="宋体" w:hAnsi="宋体"/>
                <w:color w:val="auto"/>
                <w:szCs w:val="21"/>
                <w:highlight w:val="none"/>
              </w:rPr>
              <w:t>具有独立法人资格，投标文件中提供加载有统一社会信用代码的营业执照</w:t>
            </w:r>
            <w:r>
              <w:rPr>
                <w:rFonts w:hint="eastAsia" w:ascii="宋体" w:hAnsi="宋体" w:eastAsia="宋体"/>
                <w:color w:val="auto"/>
                <w:szCs w:val="21"/>
                <w:highlight w:val="none"/>
                <w:lang w:eastAsia="zh-CN"/>
              </w:rPr>
              <w:t>副本</w:t>
            </w:r>
            <w:r>
              <w:rPr>
                <w:rFonts w:hint="eastAsia" w:ascii="宋体" w:hAnsi="宋体"/>
                <w:color w:val="auto"/>
                <w:szCs w:val="21"/>
                <w:highlight w:val="none"/>
              </w:rPr>
              <w:t>复印件</w:t>
            </w:r>
            <w:r>
              <w:rPr>
                <w:rFonts w:ascii="宋体" w:hAnsi="宋体" w:cs="宋体"/>
                <w:sz w:val="24"/>
                <w:szCs w:val="24"/>
              </w:rPr>
              <w:t>；</w:t>
            </w:r>
          </w:p>
        </w:tc>
        <w:tc>
          <w:tcPr>
            <w:tcW w:w="2671" w:type="dxa"/>
            <w:noWrap w:val="0"/>
            <w:vAlign w:val="center"/>
          </w:tcPr>
          <w:p w14:paraId="4E9B0E37">
            <w:pPr>
              <w:adjustRightInd w:val="0"/>
              <w:snapToGrid w:val="0"/>
              <w:spacing w:line="400" w:lineRule="exact"/>
              <w:jc w:val="both"/>
              <w:rPr>
                <w:rFonts w:hint="eastAsia" w:ascii="宋体" w:hAnsi="宋体" w:eastAsia="Courier New" w:cs="Courier New"/>
                <w:color w:val="000000"/>
                <w:kern w:val="2"/>
                <w:sz w:val="21"/>
                <w:szCs w:val="21"/>
                <w:lang w:val="en-US" w:eastAsia="zh-CN" w:bidi="en-US"/>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w:t>
            </w:r>
            <w:r>
              <w:rPr>
                <w:rFonts w:hint="eastAsia" w:ascii="宋体" w:hAnsi="宋体" w:eastAsia="宋体" w:cs="Times New Roman"/>
                <w:color w:val="auto"/>
                <w:szCs w:val="21"/>
                <w:highlight w:val="none"/>
                <w:lang w:eastAsia="zh-CN"/>
              </w:rPr>
              <w:t>相关资料</w:t>
            </w:r>
            <w:r>
              <w:rPr>
                <w:rFonts w:hint="eastAsia" w:ascii="宋体" w:hAnsi="宋体" w:eastAsia="宋体" w:cs="Times New Roman"/>
                <w:color w:val="auto"/>
                <w:szCs w:val="21"/>
                <w:highlight w:val="none"/>
              </w:rPr>
              <w:t>复印件</w:t>
            </w:r>
            <w:r>
              <w:rPr>
                <w:rFonts w:hint="eastAsia" w:ascii="宋体" w:hAnsi="宋体" w:eastAsia="宋体" w:cs="Times New Roman"/>
                <w:color w:val="auto"/>
                <w:szCs w:val="21"/>
                <w:highlight w:val="none"/>
                <w:lang w:eastAsia="zh-CN"/>
              </w:rPr>
              <w:t>的扫描件</w:t>
            </w:r>
          </w:p>
        </w:tc>
        <w:tc>
          <w:tcPr>
            <w:tcW w:w="2190" w:type="dxa"/>
            <w:noWrap w:val="0"/>
            <w:vAlign w:val="center"/>
          </w:tcPr>
          <w:p w14:paraId="00F0AB3C">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10E3A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8" w:type="dxa"/>
            <w:noWrap w:val="0"/>
            <w:vAlign w:val="center"/>
          </w:tcPr>
          <w:p w14:paraId="604508CC">
            <w:pPr>
              <w:pStyle w:val="41"/>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464" w:type="dxa"/>
            <w:noWrap w:val="0"/>
            <w:vAlign w:val="center"/>
          </w:tcPr>
          <w:p w14:paraId="75A327C2">
            <w:pPr>
              <w:adjustRightInd w:val="0"/>
              <w:snapToGrid w:val="0"/>
              <w:spacing w:line="400" w:lineRule="exact"/>
              <w:jc w:val="both"/>
              <w:rPr>
                <w:rFonts w:hint="eastAsia" w:ascii="宋体" w:hAnsi="宋体" w:eastAsia="Courier New" w:cs="Courier New"/>
                <w:color w:val="000000"/>
                <w:kern w:val="2"/>
                <w:sz w:val="21"/>
                <w:szCs w:val="21"/>
                <w:lang w:val="en-US" w:eastAsia="zh-CN" w:bidi="en-US"/>
              </w:rPr>
            </w:pPr>
            <w:r>
              <w:rPr>
                <w:rFonts w:hint="eastAsia" w:ascii="宋体" w:hAnsi="宋体" w:eastAsia="宋体" w:cs="宋体"/>
                <w:b w:val="0"/>
                <w:bCs w:val="0"/>
                <w:color w:val="auto"/>
                <w:sz w:val="24"/>
                <w:szCs w:val="24"/>
                <w:highlight w:val="none"/>
                <w:lang w:eastAsia="zh-CN"/>
              </w:rPr>
              <w:t>制造商需</w:t>
            </w:r>
            <w:r>
              <w:rPr>
                <w:rFonts w:hint="eastAsia" w:ascii="宋体" w:hAnsi="宋体" w:eastAsia="宋体" w:cs="宋体"/>
                <w:b w:val="0"/>
                <w:bCs w:val="0"/>
                <w:color w:val="auto"/>
                <w:sz w:val="24"/>
                <w:szCs w:val="24"/>
                <w:highlight w:val="none"/>
              </w:rPr>
              <w:t>具</w:t>
            </w:r>
            <w:r>
              <w:rPr>
                <w:rFonts w:hint="eastAsia" w:ascii="宋体" w:hAnsi="宋体" w:eastAsia="宋体" w:cs="宋体"/>
                <w:b w:val="0"/>
                <w:bCs w:val="0"/>
                <w:color w:val="auto"/>
                <w:sz w:val="24"/>
                <w:szCs w:val="24"/>
                <w:highlight w:val="none"/>
                <w:lang w:eastAsia="zh-CN"/>
              </w:rPr>
              <w:t>备</w:t>
            </w:r>
            <w:r>
              <w:rPr>
                <w:rFonts w:hint="eastAsia" w:ascii="宋体" w:hAnsi="宋体" w:eastAsia="宋体" w:cs="宋体"/>
                <w:b w:val="0"/>
                <w:bCs w:val="0"/>
                <w:color w:val="auto"/>
                <w:sz w:val="24"/>
                <w:szCs w:val="24"/>
                <w:highlight w:val="none"/>
              </w:rPr>
              <w:t>ISO质量管理体系认证证书</w:t>
            </w:r>
          </w:p>
        </w:tc>
        <w:tc>
          <w:tcPr>
            <w:tcW w:w="2671" w:type="dxa"/>
            <w:noWrap w:val="0"/>
            <w:vAlign w:val="center"/>
          </w:tcPr>
          <w:p w14:paraId="4B07148A">
            <w:pPr>
              <w:pStyle w:val="41"/>
              <w:widowControl/>
              <w:spacing w:line="330" w:lineRule="exact"/>
              <w:jc w:val="both"/>
              <w:rPr>
                <w:rFonts w:hint="eastAsia" w:ascii="宋体" w:hAnsi="宋体" w:eastAsia="Courier New" w:cs="Courier New"/>
                <w:color w:val="000000"/>
                <w:kern w:val="2"/>
                <w:sz w:val="21"/>
                <w:szCs w:val="21"/>
                <w:lang w:val="en-US" w:eastAsia="zh-CN" w:bidi="en-US"/>
              </w:rPr>
            </w:pPr>
            <w:r>
              <w:rPr>
                <w:rFonts w:hint="eastAsia" w:ascii="宋体" w:hAnsi="宋体" w:eastAsia="宋体" w:cs="宋体"/>
                <w:b w:val="0"/>
                <w:bCs w:val="0"/>
                <w:color w:val="auto"/>
                <w:sz w:val="24"/>
                <w:szCs w:val="24"/>
                <w:highlight w:val="none"/>
              </w:rPr>
              <w:t>提供加盖公章的</w:t>
            </w:r>
            <w:r>
              <w:rPr>
                <w:rFonts w:hint="eastAsia" w:ascii="宋体" w:hAnsi="宋体" w:eastAsia="宋体" w:cs="宋体"/>
                <w:b w:val="0"/>
                <w:bCs w:val="0"/>
                <w:color w:val="auto"/>
                <w:sz w:val="24"/>
                <w:szCs w:val="24"/>
                <w:highlight w:val="none"/>
                <w:lang w:val="en-US" w:eastAsia="zh-CN"/>
              </w:rPr>
              <w:t>证书</w:t>
            </w:r>
            <w:r>
              <w:rPr>
                <w:rFonts w:hint="eastAsia" w:ascii="宋体" w:hAnsi="宋体" w:eastAsia="宋体" w:cs="宋体"/>
                <w:b w:val="0"/>
                <w:bCs w:val="0"/>
                <w:color w:val="auto"/>
                <w:sz w:val="24"/>
                <w:szCs w:val="24"/>
                <w:highlight w:val="none"/>
              </w:rPr>
              <w:t>复印件</w:t>
            </w:r>
          </w:p>
        </w:tc>
        <w:tc>
          <w:tcPr>
            <w:tcW w:w="2190" w:type="dxa"/>
            <w:noWrap w:val="0"/>
            <w:vAlign w:val="center"/>
          </w:tcPr>
          <w:p w14:paraId="3610DAC5">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7852B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818" w:type="dxa"/>
            <w:noWrap w:val="0"/>
            <w:vAlign w:val="center"/>
          </w:tcPr>
          <w:p w14:paraId="2413767C">
            <w:pPr>
              <w:pStyle w:val="41"/>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464" w:type="dxa"/>
            <w:noWrap w:val="0"/>
            <w:vAlign w:val="center"/>
          </w:tcPr>
          <w:p w14:paraId="283FE52E">
            <w:pPr>
              <w:adjustRightInd w:val="0"/>
              <w:snapToGrid w:val="0"/>
              <w:spacing w:line="360" w:lineRule="auto"/>
              <w:rPr>
                <w:rFonts w:hint="eastAsia" w:ascii="宋体" w:hAnsi="宋体"/>
                <w:color w:val="auto"/>
                <w:sz w:val="21"/>
                <w:szCs w:val="21"/>
                <w:highlight w:val="none"/>
                <w:lang w:val="en-US" w:eastAsia="zh-CN"/>
              </w:rPr>
            </w:pPr>
            <w:r>
              <w:rPr>
                <w:rFonts w:hint="eastAsia" w:ascii="宋体" w:hAnsi="宋体"/>
                <w:color w:val="auto"/>
                <w:szCs w:val="21"/>
                <w:highlight w:val="none"/>
              </w:rPr>
              <w:t>提供</w:t>
            </w:r>
            <w:r>
              <w:rPr>
                <w:rFonts w:hint="eastAsia"/>
                <w:color w:val="auto"/>
                <w:szCs w:val="21"/>
                <w:highlight w:val="none"/>
                <w:lang w:eastAsia="zh-CN"/>
              </w:rPr>
              <w:t>有效期内的食品生产</w:t>
            </w:r>
            <w:r>
              <w:rPr>
                <w:rFonts w:hint="eastAsia" w:ascii="宋体" w:hAnsi="宋体"/>
                <w:color w:val="auto"/>
                <w:szCs w:val="21"/>
                <w:highlight w:val="none"/>
              </w:rPr>
              <w:t>许可证（许可范围含</w:t>
            </w:r>
            <w:r>
              <w:rPr>
                <w:rFonts w:hint="eastAsia" w:ascii="宋体" w:hAnsi="宋体" w:eastAsia="宋体"/>
                <w:color w:val="auto"/>
                <w:szCs w:val="21"/>
                <w:highlight w:val="none"/>
                <w:lang w:eastAsia="zh-CN"/>
              </w:rPr>
              <w:t>食品添加剂</w:t>
            </w:r>
            <w:r>
              <w:rPr>
                <w:rFonts w:hint="eastAsia" w:ascii="宋体" w:hAnsi="宋体" w:eastAsia="宋体"/>
                <w:color w:val="auto"/>
                <w:szCs w:val="21"/>
                <w:highlight w:val="none"/>
                <w:lang w:val="en-US" w:eastAsia="zh-CN"/>
              </w:rPr>
              <w:t xml:space="preserve"> 聚丙烯酰胺</w:t>
            </w:r>
            <w:r>
              <w:rPr>
                <w:rFonts w:hint="eastAsia" w:ascii="宋体" w:hAnsi="宋体"/>
                <w:color w:val="auto"/>
                <w:szCs w:val="21"/>
                <w:highlight w:val="none"/>
              </w:rPr>
              <w:t>）。</w:t>
            </w:r>
          </w:p>
        </w:tc>
        <w:tc>
          <w:tcPr>
            <w:tcW w:w="2671" w:type="dxa"/>
            <w:noWrap w:val="0"/>
            <w:vAlign w:val="center"/>
          </w:tcPr>
          <w:p w14:paraId="65967703">
            <w:pPr>
              <w:pStyle w:val="41"/>
              <w:widowControl/>
              <w:spacing w:line="330" w:lineRule="exact"/>
              <w:jc w:val="both"/>
              <w:rPr>
                <w:rFonts w:hint="eastAsia" w:ascii="宋体" w:hAnsi="宋体"/>
                <w:color w:val="auto"/>
                <w:sz w:val="21"/>
                <w:szCs w:val="21"/>
                <w:highlight w:val="none"/>
                <w:lang w:val="en-US" w:eastAsia="zh-CN"/>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w:t>
            </w:r>
            <w:r>
              <w:rPr>
                <w:rFonts w:hint="eastAsia" w:ascii="宋体" w:hAnsi="宋体" w:cs="Times New Roman"/>
                <w:color w:val="auto"/>
                <w:szCs w:val="21"/>
                <w:highlight w:val="none"/>
                <w:lang w:eastAsia="zh-CN"/>
              </w:rPr>
              <w:t>相关资料</w:t>
            </w:r>
            <w:r>
              <w:rPr>
                <w:rFonts w:hint="eastAsia" w:ascii="宋体" w:hAnsi="宋体" w:eastAsia="宋体" w:cs="Times New Roman"/>
                <w:color w:val="auto"/>
                <w:szCs w:val="21"/>
                <w:highlight w:val="none"/>
              </w:rPr>
              <w:t>复印件</w:t>
            </w:r>
            <w:r>
              <w:rPr>
                <w:rFonts w:hint="eastAsia" w:ascii="宋体" w:hAnsi="宋体" w:eastAsia="宋体" w:cs="Times New Roman"/>
                <w:color w:val="auto"/>
                <w:szCs w:val="21"/>
                <w:highlight w:val="none"/>
                <w:lang w:eastAsia="zh-CN"/>
              </w:rPr>
              <w:t>的扫描件</w:t>
            </w:r>
          </w:p>
        </w:tc>
        <w:tc>
          <w:tcPr>
            <w:tcW w:w="2190" w:type="dxa"/>
            <w:noWrap w:val="0"/>
            <w:vAlign w:val="center"/>
          </w:tcPr>
          <w:p w14:paraId="164B2D75">
            <w:pPr>
              <w:adjustRightInd w:val="0"/>
              <w:snapToGrid w:val="0"/>
              <w:spacing w:line="400" w:lineRule="exact"/>
              <w:rPr>
                <w:rFonts w:hint="eastAsia" w:ascii="宋体" w:hAnsi="宋体" w:eastAsia="Courier New" w:cs="Courier New"/>
                <w:b/>
                <w:bCs/>
                <w:color w:val="000000"/>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71BA0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818" w:type="dxa"/>
            <w:noWrap w:val="0"/>
            <w:vAlign w:val="center"/>
          </w:tcPr>
          <w:p w14:paraId="39412FF8">
            <w:pPr>
              <w:pStyle w:val="41"/>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464" w:type="dxa"/>
            <w:noWrap w:val="0"/>
            <w:vAlign w:val="center"/>
          </w:tcPr>
          <w:p w14:paraId="266D492C">
            <w:pPr>
              <w:adjustRightInd w:val="0"/>
              <w:snapToGrid w:val="0"/>
              <w:spacing w:line="400" w:lineRule="exact"/>
              <w:jc w:val="both"/>
              <w:rPr>
                <w:rFonts w:hint="eastAsia" w:ascii="宋体" w:hAnsi="宋体" w:eastAsia="Courier New" w:cs="Courier New"/>
                <w:color w:val="000000"/>
                <w:kern w:val="2"/>
                <w:sz w:val="21"/>
                <w:szCs w:val="21"/>
                <w:lang w:val="en-US" w:eastAsia="zh-CN" w:bidi="en-US"/>
              </w:rPr>
            </w:pPr>
            <w:r>
              <w:rPr>
                <w:rFonts w:hint="eastAsia"/>
                <w:color w:val="auto"/>
                <w:highlight w:val="none"/>
                <w:lang w:eastAsia="zh-CN"/>
              </w:rPr>
              <w:t>报价人</w:t>
            </w:r>
            <w:r>
              <w:rPr>
                <w:rFonts w:hint="eastAsia" w:ascii="宋体" w:hAnsi="宋体"/>
                <w:color w:val="auto"/>
                <w:szCs w:val="21"/>
                <w:highlight w:val="none"/>
                <w:lang w:val="en-US" w:eastAsia="zh-CN"/>
              </w:rPr>
              <w:t>提供</w:t>
            </w:r>
            <w:r>
              <w:rPr>
                <w:rFonts w:hint="eastAsia"/>
                <w:color w:val="auto"/>
                <w:highlight w:val="none"/>
                <w:lang w:eastAsia="zh-CN"/>
              </w:rPr>
              <w:t>必须具有会计师事务所出具的</w:t>
            </w:r>
            <w:r>
              <w:rPr>
                <w:rFonts w:hint="eastAsia"/>
                <w:color w:val="auto"/>
                <w:highlight w:val="none"/>
                <w:lang w:val="en-US" w:eastAsia="zh-CN"/>
              </w:rPr>
              <w:t>2022年度、2023年度、2024</w:t>
            </w:r>
            <w:r>
              <w:rPr>
                <w:rFonts w:hint="eastAsia"/>
                <w:color w:val="auto"/>
                <w:highlight w:val="none"/>
                <w:lang w:eastAsia="zh-CN"/>
              </w:rPr>
              <w:t>年度财务审计报告</w:t>
            </w:r>
          </w:p>
        </w:tc>
        <w:tc>
          <w:tcPr>
            <w:tcW w:w="2671" w:type="dxa"/>
            <w:noWrap w:val="0"/>
            <w:vAlign w:val="center"/>
          </w:tcPr>
          <w:p w14:paraId="7635D812">
            <w:pPr>
              <w:adjustRightInd w:val="0"/>
              <w:snapToGrid w:val="0"/>
              <w:spacing w:line="400" w:lineRule="exact"/>
              <w:jc w:val="both"/>
              <w:rPr>
                <w:rFonts w:hint="eastAsia" w:ascii="宋体" w:hAnsi="宋体" w:eastAsia="Courier New" w:cs="Courier New"/>
                <w:color w:val="000000"/>
                <w:kern w:val="2"/>
                <w:sz w:val="21"/>
                <w:szCs w:val="21"/>
                <w:lang w:val="en-US" w:eastAsia="zh-CN" w:bidi="en-US"/>
              </w:rPr>
            </w:pPr>
          </w:p>
        </w:tc>
        <w:tc>
          <w:tcPr>
            <w:tcW w:w="2190" w:type="dxa"/>
            <w:noWrap w:val="0"/>
            <w:vAlign w:val="center"/>
          </w:tcPr>
          <w:p w14:paraId="12C077D4">
            <w:pPr>
              <w:adjustRightInd w:val="0"/>
              <w:snapToGrid w:val="0"/>
              <w:spacing w:line="400" w:lineRule="exact"/>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03309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18" w:type="dxa"/>
            <w:noWrap w:val="0"/>
            <w:vAlign w:val="center"/>
          </w:tcPr>
          <w:p w14:paraId="6D6FC9F9">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5</w:t>
            </w:r>
          </w:p>
        </w:tc>
        <w:tc>
          <w:tcPr>
            <w:tcW w:w="3464" w:type="dxa"/>
            <w:noWrap w:val="0"/>
            <w:vAlign w:val="center"/>
          </w:tcPr>
          <w:p w14:paraId="47989257">
            <w:pPr>
              <w:adjustRightInd w:val="0"/>
              <w:snapToGrid w:val="0"/>
              <w:spacing w:line="400" w:lineRule="exact"/>
              <w:jc w:val="both"/>
              <w:rPr>
                <w:rFonts w:hint="default" w:ascii="Courier New" w:hAnsi="Courier New" w:eastAsia="Courier New" w:cs="Courier New"/>
                <w:b/>
                <w:color w:val="000000"/>
                <w:kern w:val="44"/>
                <w:sz w:val="21"/>
                <w:szCs w:val="21"/>
                <w:lang w:val="en-US" w:eastAsia="zh-CN" w:bidi="en-US"/>
              </w:rPr>
            </w:pPr>
            <w:r>
              <w:rPr>
                <w:rFonts w:hint="eastAsia" w:ascii="宋体" w:hAnsi="宋体"/>
                <w:color w:val="auto"/>
                <w:szCs w:val="21"/>
                <w:highlight w:val="none"/>
              </w:rPr>
              <w:t>报价人法定代表人授权委托书</w:t>
            </w:r>
            <w:r>
              <w:rPr>
                <w:rFonts w:hint="eastAsia" w:ascii="宋体" w:hAnsi="宋体" w:eastAsia="宋体"/>
                <w:color w:val="auto"/>
                <w:szCs w:val="21"/>
                <w:highlight w:val="none"/>
                <w:lang w:eastAsia="zh-CN"/>
              </w:rPr>
              <w:t>，并注明联系人及联系方式</w:t>
            </w:r>
          </w:p>
        </w:tc>
        <w:tc>
          <w:tcPr>
            <w:tcW w:w="2671" w:type="dxa"/>
            <w:noWrap w:val="0"/>
            <w:vAlign w:val="center"/>
          </w:tcPr>
          <w:p w14:paraId="30934E43">
            <w:pPr>
              <w:adjustRightInd w:val="0"/>
              <w:snapToGrid w:val="0"/>
              <w:spacing w:line="400" w:lineRule="exact"/>
              <w:jc w:val="both"/>
              <w:rPr>
                <w:rFonts w:hint="eastAsia" w:ascii="宋体" w:hAnsi="宋体" w:eastAsia="Courier New" w:cs="宋体"/>
                <w:color w:val="000000"/>
                <w:kern w:val="0"/>
                <w:sz w:val="21"/>
                <w:szCs w:val="21"/>
                <w:lang w:val="en-US" w:eastAsia="zh-CN" w:bidi="en-US"/>
              </w:rPr>
            </w:pPr>
            <w:r>
              <w:rPr>
                <w:rFonts w:hint="eastAsia" w:ascii="宋体" w:hAnsi="宋体"/>
                <w:color w:val="auto"/>
                <w:szCs w:val="21"/>
                <w:highlight w:val="none"/>
              </w:rPr>
              <w:t>提供加盖公章的法定代表人授权委托书原件</w:t>
            </w:r>
            <w:r>
              <w:rPr>
                <w:rFonts w:hint="eastAsia" w:ascii="宋体" w:hAnsi="宋体" w:eastAsia="宋体"/>
                <w:color w:val="auto"/>
                <w:szCs w:val="21"/>
                <w:highlight w:val="none"/>
                <w:lang w:eastAsia="zh-CN"/>
              </w:rPr>
              <w:t>扫描件</w:t>
            </w:r>
          </w:p>
        </w:tc>
        <w:tc>
          <w:tcPr>
            <w:tcW w:w="2190" w:type="dxa"/>
            <w:noWrap w:val="0"/>
            <w:vAlign w:val="center"/>
          </w:tcPr>
          <w:p w14:paraId="200B7014">
            <w:pPr>
              <w:adjustRightInd w:val="0"/>
              <w:snapToGrid w:val="0"/>
              <w:spacing w:line="400" w:lineRule="exact"/>
              <w:jc w:val="both"/>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79D83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18" w:type="dxa"/>
            <w:noWrap w:val="0"/>
            <w:vAlign w:val="center"/>
          </w:tcPr>
          <w:p w14:paraId="2287AE12">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6</w:t>
            </w:r>
          </w:p>
        </w:tc>
        <w:tc>
          <w:tcPr>
            <w:tcW w:w="3464" w:type="dxa"/>
            <w:noWrap w:val="0"/>
            <w:vAlign w:val="center"/>
          </w:tcPr>
          <w:p w14:paraId="650CA88D">
            <w:pPr>
              <w:pStyle w:val="2"/>
              <w:spacing w:line="240" w:lineRule="auto"/>
              <w:rPr>
                <w:rFonts w:hint="default" w:ascii="宋体" w:hAnsi="宋体" w:eastAsia="Courier New" w:cs="宋体"/>
                <w:color w:val="000000"/>
                <w:kern w:val="2"/>
                <w:sz w:val="21"/>
                <w:szCs w:val="21"/>
                <w:lang w:val="en-US" w:eastAsia="zh-CN" w:bidi="en-US"/>
              </w:rPr>
            </w:pPr>
            <w:r>
              <w:rPr>
                <w:rFonts w:hint="eastAsia" w:ascii="宋体" w:hAnsi="宋体" w:eastAsia="宋体" w:cs="宋体"/>
                <w:b w:val="0"/>
                <w:sz w:val="21"/>
                <w:szCs w:val="21"/>
                <w:lang w:eastAsia="zh-CN"/>
              </w:rPr>
              <w:t>报价</w:t>
            </w:r>
            <w:r>
              <w:rPr>
                <w:rFonts w:hint="eastAsia" w:ascii="宋体" w:hAnsi="宋体" w:cs="宋体"/>
                <w:b w:val="0"/>
                <w:sz w:val="21"/>
                <w:szCs w:val="21"/>
              </w:rPr>
              <w:t>必须提供</w:t>
            </w:r>
            <w:r>
              <w:rPr>
                <w:rFonts w:hint="eastAsia" w:ascii="宋体" w:hAnsi="宋体" w:eastAsia="宋体" w:cs="宋体"/>
                <w:b w:val="0"/>
                <w:sz w:val="21"/>
                <w:szCs w:val="21"/>
                <w:lang w:val="en-US" w:eastAsia="zh-CN"/>
              </w:rPr>
              <w:t>2024</w:t>
            </w:r>
            <w:r>
              <w:rPr>
                <w:rFonts w:hint="eastAsia" w:ascii="宋体" w:hAnsi="宋体" w:cs="宋体"/>
                <w:b w:val="0"/>
                <w:sz w:val="21"/>
                <w:szCs w:val="21"/>
              </w:rPr>
              <w:t>年</w:t>
            </w:r>
            <w:r>
              <w:rPr>
                <w:rFonts w:hint="eastAsia" w:ascii="宋体" w:hAnsi="宋体" w:eastAsia="宋体" w:cs="宋体"/>
                <w:b w:val="0"/>
                <w:sz w:val="21"/>
                <w:szCs w:val="21"/>
                <w:lang w:val="en-US" w:eastAsia="zh-CN"/>
              </w:rPr>
              <w:t>1月1日至今</w:t>
            </w:r>
            <w:r>
              <w:rPr>
                <w:rFonts w:hint="eastAsia" w:ascii="宋体" w:hAnsi="宋体" w:cs="宋体"/>
                <w:b w:val="0"/>
                <w:sz w:val="21"/>
                <w:szCs w:val="21"/>
              </w:rPr>
              <w:t>与本次</w:t>
            </w:r>
            <w:r>
              <w:rPr>
                <w:rFonts w:hint="eastAsia" w:ascii="宋体" w:hAnsi="宋体" w:eastAsia="宋体" w:cs="宋体"/>
                <w:b w:val="0"/>
                <w:sz w:val="21"/>
                <w:szCs w:val="21"/>
                <w:lang w:eastAsia="zh-CN"/>
              </w:rPr>
              <w:t>采购物资</w:t>
            </w:r>
            <w:r>
              <w:rPr>
                <w:rFonts w:hint="eastAsia" w:ascii="宋体" w:hAnsi="宋体" w:cs="宋体"/>
                <w:b w:val="0"/>
                <w:sz w:val="21"/>
                <w:szCs w:val="21"/>
              </w:rPr>
              <w:t>相同或相近参数产品成功</w:t>
            </w:r>
            <w:r>
              <w:rPr>
                <w:rFonts w:hint="eastAsia" w:ascii="宋体" w:hAnsi="宋体" w:eastAsia="宋体" w:cs="宋体"/>
                <w:b w:val="0"/>
                <w:sz w:val="21"/>
                <w:szCs w:val="21"/>
                <w:lang w:eastAsia="zh-CN"/>
              </w:rPr>
              <w:t>销售</w:t>
            </w:r>
            <w:r>
              <w:rPr>
                <w:rFonts w:hint="eastAsia" w:ascii="宋体" w:hAnsi="宋体" w:cs="宋体"/>
                <w:b w:val="0"/>
                <w:sz w:val="21"/>
                <w:szCs w:val="21"/>
              </w:rPr>
              <w:t>业绩，并提供业绩合同及相对应的发票</w:t>
            </w:r>
            <w:r>
              <w:rPr>
                <w:rFonts w:hint="eastAsia" w:ascii="宋体" w:hAnsi="宋体" w:cs="宋体"/>
                <w:b w:val="0"/>
                <w:color w:val="333333"/>
                <w:sz w:val="21"/>
                <w:szCs w:val="21"/>
                <w:shd w:val="clear" w:color="auto" w:fill="FFFFFF"/>
              </w:rPr>
              <w:t>。</w:t>
            </w:r>
          </w:p>
        </w:tc>
        <w:tc>
          <w:tcPr>
            <w:tcW w:w="2671" w:type="dxa"/>
            <w:noWrap w:val="0"/>
            <w:vAlign w:val="center"/>
          </w:tcPr>
          <w:p w14:paraId="44E6C243">
            <w:pPr>
              <w:adjustRightInd w:val="0"/>
              <w:snapToGrid w:val="0"/>
              <w:spacing w:line="300" w:lineRule="auto"/>
              <w:rPr>
                <w:rFonts w:hint="eastAsia" w:ascii="宋体" w:hAnsi="宋体" w:eastAsia="宋体" w:cs="宋体"/>
                <w:kern w:val="2"/>
                <w:sz w:val="21"/>
                <w:szCs w:val="21"/>
                <w:lang w:val="en-US" w:eastAsia="zh-CN" w:bidi="ar-SA"/>
              </w:rPr>
            </w:pPr>
            <w:r>
              <w:rPr>
                <w:rStyle w:val="14"/>
                <w:rFonts w:hint="eastAsia" w:ascii="宋体" w:hAnsi="宋体" w:cs="宋体"/>
                <w:b w:val="0"/>
                <w:color w:val="333333"/>
                <w:szCs w:val="21"/>
                <w:shd w:val="clear" w:color="auto" w:fill="FFFFFF"/>
              </w:rPr>
              <w:t>附发票清单明细，所提供发票必须上传到“国家税务总局全国增值税发票查验平台”提供查验，如无法查验，则视为不合格业绩</w:t>
            </w:r>
            <w:r>
              <w:rPr>
                <w:rFonts w:hint="eastAsia" w:ascii="宋体" w:hAnsi="宋体" w:cs="宋体"/>
                <w:color w:val="333333"/>
                <w:szCs w:val="21"/>
                <w:shd w:val="clear" w:color="auto" w:fill="FFFFFF"/>
              </w:rPr>
              <w:t>）。</w:t>
            </w:r>
          </w:p>
        </w:tc>
        <w:tc>
          <w:tcPr>
            <w:tcW w:w="2190" w:type="dxa"/>
            <w:noWrap w:val="0"/>
            <w:vAlign w:val="center"/>
          </w:tcPr>
          <w:p w14:paraId="651B561F">
            <w:pPr>
              <w:pStyle w:val="41"/>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7DE23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18" w:type="dxa"/>
            <w:noWrap w:val="0"/>
            <w:vAlign w:val="center"/>
          </w:tcPr>
          <w:p w14:paraId="684A9FFB">
            <w:pPr>
              <w:pStyle w:val="41"/>
              <w:widowControl/>
              <w:spacing w:line="330" w:lineRule="exact"/>
              <w:jc w:val="center"/>
              <w:rPr>
                <w:rFonts w:hint="default" w:ascii="宋体" w:hAnsi="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7</w:t>
            </w:r>
          </w:p>
        </w:tc>
        <w:tc>
          <w:tcPr>
            <w:tcW w:w="3464" w:type="dxa"/>
            <w:noWrap w:val="0"/>
            <w:vAlign w:val="center"/>
          </w:tcPr>
          <w:p w14:paraId="4306C4BC">
            <w:pPr>
              <w:spacing w:line="400" w:lineRule="exact"/>
              <w:rPr>
                <w:rFonts w:hint="eastAsia" w:ascii="宋体" w:hAnsi="宋体" w:eastAsia="宋体" w:cs="宋体"/>
                <w:b w:val="0"/>
                <w:bCs w:val="0"/>
                <w:color w:val="auto"/>
                <w:kern w:val="2"/>
                <w:sz w:val="24"/>
                <w:szCs w:val="24"/>
                <w:highlight w:val="none"/>
                <w:lang w:val="en-US" w:eastAsia="zh-CN" w:bidi="ar-SA"/>
              </w:rPr>
            </w:pPr>
            <w:r>
              <w:rPr>
                <w:rFonts w:hint="eastAsia"/>
                <w:color w:val="auto"/>
                <w:highlight w:val="none"/>
                <w:lang w:eastAsia="zh-CN"/>
              </w:rPr>
              <w:t>报价人的信誉良好，近三年未发生过重大质量事故和重大安全事故，在报价文件递交截止日期前在“信用中国”（www.creditchina.gov.cn）网站无失信惩戒记录、未被国家企业信用信息公示系统（www.gsxt.gov.cn）网站列为严重违法失信名单（黑名单）。（</w:t>
            </w:r>
            <w:r>
              <w:rPr>
                <w:rFonts w:hint="default" w:ascii="Calibri" w:hAnsi="Calibri" w:cs="Calibri"/>
                <w:color w:val="auto"/>
                <w:highlight w:val="none"/>
                <w:lang w:eastAsia="zh-CN"/>
              </w:rPr>
              <w:t>①</w:t>
            </w:r>
            <w:r>
              <w:rPr>
                <w:rFonts w:hint="eastAsia"/>
                <w:color w:val="auto"/>
                <w:highlight w:val="none"/>
                <w:lang w:eastAsia="zh-CN"/>
              </w:rPr>
              <w:t>提供加盖投标人公章的承诺书；</w:t>
            </w:r>
            <w:r>
              <w:rPr>
                <w:rFonts w:hint="default" w:ascii="Calibri" w:hAnsi="Calibri" w:cs="Calibri"/>
                <w:color w:val="auto"/>
                <w:highlight w:val="none"/>
                <w:lang w:eastAsia="zh-CN"/>
              </w:rPr>
              <w:t>②</w:t>
            </w:r>
            <w:r>
              <w:rPr>
                <w:rFonts w:hint="eastAsia"/>
                <w:color w:val="auto"/>
                <w:highlight w:val="none"/>
                <w:lang w:eastAsia="zh-CN"/>
              </w:rPr>
              <w:t>提供在“信用中国”（www.creditchina.gov.cn）网站下载的“法人和其他组织信用信息概况”；</w:t>
            </w:r>
            <w:r>
              <w:rPr>
                <w:rFonts w:hint="default" w:ascii="Calibri" w:hAnsi="Calibri" w:cs="Calibri"/>
                <w:color w:val="auto"/>
                <w:highlight w:val="none"/>
                <w:lang w:eastAsia="zh-CN"/>
              </w:rPr>
              <w:t>③</w:t>
            </w:r>
            <w:r>
              <w:rPr>
                <w:rFonts w:hint="eastAsia"/>
                <w:color w:val="auto"/>
                <w:highlight w:val="none"/>
                <w:lang w:eastAsia="zh-CN"/>
              </w:rPr>
              <w:t>提供在国家企业信用信息公示系统（www.gsxt.gov.cn）网站出具的“企业信用信息公示报告”。</w:t>
            </w:r>
            <w:r>
              <w:rPr>
                <w:rFonts w:hint="default" w:ascii="Calibri" w:hAnsi="Calibri" w:cs="Calibri"/>
                <w:color w:val="auto"/>
                <w:highlight w:val="none"/>
                <w:lang w:eastAsia="zh-CN"/>
              </w:rPr>
              <w:t>①②③</w:t>
            </w:r>
            <w:r>
              <w:rPr>
                <w:rFonts w:hint="eastAsia"/>
                <w:color w:val="auto"/>
                <w:highlight w:val="none"/>
                <w:lang w:val="en-US" w:eastAsia="zh-CN"/>
              </w:rPr>
              <w:t>项必须同时提供。</w:t>
            </w:r>
          </w:p>
        </w:tc>
        <w:tc>
          <w:tcPr>
            <w:tcW w:w="2671" w:type="dxa"/>
            <w:noWrap w:val="0"/>
            <w:vAlign w:val="center"/>
          </w:tcPr>
          <w:p w14:paraId="1CADD7C6">
            <w:pPr>
              <w:pStyle w:val="41"/>
              <w:widowControl/>
              <w:spacing w:line="330" w:lineRule="exact"/>
              <w:rPr>
                <w:rFonts w:hint="eastAsia" w:ascii="宋体" w:hAnsi="宋体" w:eastAsia="宋体" w:cs="宋体"/>
                <w:b w:val="0"/>
                <w:bCs w:val="0"/>
                <w:color w:val="auto"/>
                <w:kern w:val="0"/>
                <w:sz w:val="24"/>
                <w:szCs w:val="24"/>
                <w:highlight w:val="none"/>
                <w:lang w:val="en-US" w:eastAsia="zh-CN" w:bidi="ar-SA"/>
              </w:rPr>
            </w:pPr>
            <w:r>
              <w:rPr>
                <w:rFonts w:hint="eastAsia" w:ascii="宋体" w:hAnsi="宋体" w:cs="宋体"/>
                <w:color w:val="333333"/>
                <w:szCs w:val="21"/>
                <w:shd w:val="clear" w:color="auto" w:fill="FFFFFF"/>
              </w:rPr>
              <w:t>提供加盖投选人公章的承诺书、在“信用中国”（www.creditchina.gov.cn）网站下载的“法人和其他组织信用信息概况”、在国家企业信用信息公示系统（www.gsxt.gov.cn）网站出具的“企业信用信息公示报告”。</w:t>
            </w:r>
          </w:p>
        </w:tc>
        <w:tc>
          <w:tcPr>
            <w:tcW w:w="2190" w:type="dxa"/>
            <w:noWrap w:val="0"/>
            <w:vAlign w:val="center"/>
          </w:tcPr>
          <w:p w14:paraId="2A908589">
            <w:pPr>
              <w:pStyle w:val="41"/>
              <w:widowControl/>
              <w:spacing w:line="330" w:lineRule="exac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6FF5A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18" w:type="dxa"/>
            <w:noWrap w:val="0"/>
            <w:vAlign w:val="center"/>
          </w:tcPr>
          <w:p w14:paraId="4D1724FA">
            <w:pPr>
              <w:pStyle w:val="41"/>
              <w:widowControl/>
              <w:spacing w:line="330" w:lineRule="exact"/>
              <w:jc w:val="center"/>
              <w:rPr>
                <w:rFonts w:hint="eastAsia" w:ascii="宋体" w:hAnsi="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8</w:t>
            </w:r>
          </w:p>
        </w:tc>
        <w:tc>
          <w:tcPr>
            <w:tcW w:w="3464" w:type="dxa"/>
            <w:noWrap w:val="0"/>
            <w:vAlign w:val="center"/>
          </w:tcPr>
          <w:p w14:paraId="40875EED">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上传盖章的商务、技术偏离表（无论是否有偏离，均需注明），报价单。</w:t>
            </w:r>
          </w:p>
        </w:tc>
        <w:tc>
          <w:tcPr>
            <w:tcW w:w="2671" w:type="dxa"/>
            <w:noWrap w:val="0"/>
            <w:vAlign w:val="center"/>
          </w:tcPr>
          <w:p w14:paraId="4809DB05">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p>
        </w:tc>
        <w:tc>
          <w:tcPr>
            <w:tcW w:w="2190" w:type="dxa"/>
            <w:noWrap w:val="0"/>
            <w:vAlign w:val="center"/>
          </w:tcPr>
          <w:p w14:paraId="6CE75516">
            <w:pPr>
              <w:pStyle w:val="41"/>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所有报价人均需提供</w:t>
            </w:r>
            <w:r>
              <w:rPr>
                <w:rFonts w:hint="eastAsia" w:ascii="宋体" w:hAnsi="宋体" w:cs="宋体"/>
                <w:b w:val="0"/>
                <w:bCs w:val="0"/>
                <w:color w:val="auto"/>
                <w:kern w:val="0"/>
                <w:sz w:val="24"/>
                <w:szCs w:val="24"/>
                <w:highlight w:val="none"/>
                <w:lang w:val="en-US" w:eastAsia="zh-CN" w:bidi="ar-SA"/>
              </w:rPr>
              <w:t>，</w:t>
            </w:r>
            <w:r>
              <w:rPr>
                <w:rFonts w:hint="eastAsia" w:ascii="宋体" w:hAnsi="宋体" w:cs="宋体"/>
                <w:b/>
                <w:bCs/>
                <w:color w:val="FF0000"/>
                <w:kern w:val="0"/>
                <w:sz w:val="28"/>
                <w:szCs w:val="28"/>
                <w:highlight w:val="none"/>
                <w:shd w:val="clear" w:color="auto" w:fill="auto"/>
                <w:lang w:val="en-US" w:eastAsia="zh-CN"/>
              </w:rPr>
              <w:t>否则</w:t>
            </w:r>
            <w:r>
              <w:rPr>
                <w:rFonts w:hint="eastAsia" w:ascii="宋体" w:hAnsi="宋体" w:cs="宋体"/>
                <w:b/>
                <w:bCs/>
                <w:color w:val="FF0000"/>
                <w:kern w:val="0"/>
                <w:sz w:val="28"/>
                <w:szCs w:val="28"/>
                <w:highlight w:val="none"/>
                <w:shd w:val="clear" w:color="auto" w:fill="auto"/>
              </w:rPr>
              <w:t>视为无效报价</w:t>
            </w:r>
          </w:p>
        </w:tc>
      </w:tr>
    </w:tbl>
    <w:p w14:paraId="11967064">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04E9F43B">
      <w:pPr>
        <w:pStyle w:val="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3E173A40">
      <w:pPr>
        <w:pStyle w:val="5"/>
        <w:rPr>
          <w:rFonts w:hint="eastAsia" w:ascii="仿宋" w:hAnsi="仿宋" w:eastAsia="仿宋" w:cs="仿宋"/>
          <w:b/>
          <w:bCs/>
          <w:color w:val="auto"/>
          <w:sz w:val="28"/>
          <w:szCs w:val="28"/>
          <w:highlight w:val="none"/>
          <w:lang w:val="en-US" w:eastAsia="zh-CN"/>
        </w:rPr>
      </w:pPr>
    </w:p>
    <w:p w14:paraId="2A220E77">
      <w:pPr>
        <w:pStyle w:val="5"/>
        <w:rPr>
          <w:rFonts w:hint="eastAsia"/>
          <w:lang w:val="en-US" w:eastAsia="zh-CN"/>
        </w:rPr>
      </w:pPr>
      <w:r>
        <w:rPr>
          <w:rFonts w:hint="eastAsia" w:ascii="仿宋" w:hAnsi="仿宋" w:eastAsia="仿宋" w:cs="仿宋"/>
          <w:b/>
          <w:bCs/>
          <w:color w:val="auto"/>
          <w:sz w:val="28"/>
          <w:szCs w:val="28"/>
          <w:highlight w:val="none"/>
          <w:lang w:val="en-US" w:eastAsia="zh-CN"/>
        </w:rPr>
        <w:t xml:space="preserve">附件三：合同主要条款 </w:t>
      </w:r>
    </w:p>
    <w:p w14:paraId="3BB115DA">
      <w:pPr>
        <w:jc w:val="center"/>
        <w:rPr>
          <w:b/>
          <w:bCs/>
          <w:sz w:val="44"/>
          <w:szCs w:val="44"/>
          <w:lang w:eastAsia="zh-CN"/>
        </w:rPr>
      </w:pPr>
      <w:r>
        <w:rPr>
          <w:rFonts w:hint="eastAsia"/>
          <w:b/>
          <w:bCs/>
          <w:sz w:val="44"/>
          <w:szCs w:val="44"/>
          <w:lang w:eastAsia="zh-CN"/>
        </w:rPr>
        <w:t>食品添加剂聚丙烯酰胺 年度框架协议</w:t>
      </w:r>
    </w:p>
    <w:p w14:paraId="31441793">
      <w:pPr>
        <w:jc w:val="center"/>
        <w:rPr>
          <w:b/>
          <w:bCs/>
          <w:color w:val="auto"/>
          <w:sz w:val="44"/>
          <w:szCs w:val="44"/>
          <w:lang w:eastAsia="zh-CN"/>
        </w:rPr>
      </w:pPr>
    </w:p>
    <w:p w14:paraId="4308F8D4">
      <w:pPr>
        <w:spacing w:beforeLines="100" w:afterLines="100" w:line="240" w:lineRule="atLeast"/>
        <w:rPr>
          <w:rFonts w:ascii="宋体" w:hAnsi="宋体"/>
          <w:lang w:eastAsia="zh-CN"/>
        </w:rPr>
      </w:pPr>
      <w:r>
        <w:rPr>
          <w:rFonts w:hint="eastAsia" w:ascii="宋体" w:hAnsi="宋体"/>
          <w:lang w:eastAsia="zh-CN"/>
        </w:rPr>
        <w:t>买受人：江苏苏盐井神股份有限公司</w:t>
      </w:r>
      <w:r>
        <w:rPr>
          <w:rFonts w:hint="eastAsia" w:ascii="宋体" w:hAnsi="宋体"/>
          <w:lang w:val="en-US" w:eastAsia="zh-CN"/>
        </w:rPr>
        <w:t xml:space="preserve">            </w:t>
      </w:r>
      <w:r>
        <w:rPr>
          <w:rFonts w:hint="eastAsia" w:ascii="宋体" w:hAnsi="宋体" w:eastAsia="宋体"/>
          <w:lang w:eastAsia="zh-CN"/>
        </w:rPr>
        <w:t>年度框架协议</w:t>
      </w:r>
      <w:r>
        <w:rPr>
          <w:rFonts w:hint="eastAsia" w:ascii="宋体" w:hAnsi="宋体"/>
          <w:lang w:eastAsia="zh-CN"/>
        </w:rPr>
        <w:t>编号：</w:t>
      </w:r>
    </w:p>
    <w:p w14:paraId="602E7F7E">
      <w:pPr>
        <w:spacing w:beforeLines="100" w:afterLines="100" w:line="240" w:lineRule="atLeast"/>
        <w:rPr>
          <w:rFonts w:ascii="宋体" w:hAnsi="宋体"/>
          <w:lang w:eastAsia="zh-CN"/>
        </w:rPr>
      </w:pPr>
      <w:r>
        <w:rPr>
          <w:rFonts w:hint="eastAsia" w:ascii="宋体" w:hAnsi="宋体"/>
          <w:bCs/>
          <w:lang w:eastAsia="zh-CN"/>
        </w:rPr>
        <w:t>出卖人：</w:t>
      </w:r>
      <w:r>
        <w:rPr>
          <w:rFonts w:hint="eastAsia" w:ascii="宋体" w:hAnsi="宋体"/>
          <w:lang w:eastAsia="zh-CN"/>
        </w:rPr>
        <w:tab/>
      </w:r>
      <w:r>
        <w:rPr>
          <w:rFonts w:hint="eastAsia" w:ascii="宋体" w:hAnsi="宋体"/>
          <w:lang w:val="en-US" w:eastAsia="zh-CN"/>
        </w:rPr>
        <w:t xml:space="preserve">                            </w:t>
      </w:r>
      <w:r>
        <w:rPr>
          <w:rFonts w:hint="eastAsia" w:ascii="宋体" w:hAnsi="宋体"/>
          <w:lang w:eastAsia="zh-CN"/>
        </w:rPr>
        <w:tab/>
      </w:r>
      <w:r>
        <w:rPr>
          <w:rFonts w:hint="eastAsia" w:ascii="宋体" w:hAnsi="宋体"/>
          <w:bCs/>
          <w:lang w:eastAsia="zh-CN"/>
        </w:rPr>
        <w:t>签订地点</w:t>
      </w:r>
      <w:r>
        <w:rPr>
          <w:rFonts w:hint="eastAsia" w:ascii="宋体" w:hAnsi="宋体"/>
          <w:lang w:eastAsia="zh-CN"/>
        </w:rPr>
        <w:t>：</w:t>
      </w:r>
      <w:r>
        <w:rPr>
          <w:rFonts w:hint="eastAsia" w:ascii="宋体" w:hAnsi="宋体"/>
          <w:szCs w:val="21"/>
          <w:lang w:eastAsia="zh-CN"/>
        </w:rPr>
        <w:t>淮安市淮安区</w:t>
      </w:r>
    </w:p>
    <w:p w14:paraId="0C2495E9">
      <w:pPr>
        <w:keepNext w:val="0"/>
        <w:keepLines w:val="0"/>
        <w:pageBreakBefore w:val="0"/>
        <w:kinsoku/>
        <w:overflowPunct/>
        <w:topLinePunct w:val="0"/>
        <w:autoSpaceDE/>
        <w:autoSpaceDN/>
        <w:bidi w:val="0"/>
        <w:adjustRightInd w:val="0"/>
        <w:snapToGrid w:val="0"/>
        <w:spacing w:line="320" w:lineRule="exact"/>
        <w:jc w:val="left"/>
        <w:textAlignment w:val="auto"/>
        <w:rPr>
          <w:rFonts w:hint="eastAsia" w:ascii="宋体" w:hAnsi="宋体"/>
          <w:szCs w:val="21"/>
        </w:rPr>
      </w:pPr>
      <w:r>
        <w:rPr>
          <w:rFonts w:hint="eastAsia" w:ascii="宋体" w:hAnsi="宋体"/>
          <w:b/>
          <w:bCs/>
          <w:szCs w:val="21"/>
          <w:lang w:eastAsia="zh-CN"/>
        </w:rPr>
        <w:t>第一条</w:t>
      </w:r>
      <w:r>
        <w:rPr>
          <w:rFonts w:hint="eastAsia" w:ascii="宋体" w:hAnsi="宋体"/>
          <w:szCs w:val="21"/>
          <w:lang w:eastAsia="zh-CN"/>
        </w:rPr>
        <w:t xml:space="preserve"> </w:t>
      </w:r>
      <w:r>
        <w:rPr>
          <w:rFonts w:hint="eastAsia" w:ascii="宋体" w:hAnsi="宋体"/>
          <w:szCs w:val="21"/>
        </w:rPr>
        <w:t xml:space="preserve"> </w:t>
      </w:r>
      <w:r>
        <w:rPr>
          <w:rFonts w:hint="eastAsia" w:ascii="Times New Roman" w:hAnsi="Times New Roman" w:eastAsia="宋体" w:cs="Times New Roman"/>
          <w:color w:val="auto"/>
          <w:szCs w:val="21"/>
          <w:lang w:val="en-US" w:eastAsia="zh-CN"/>
        </w:rPr>
        <w:t>年度框架协议有效期为：2025年  月  日--2026年  月  日。</w:t>
      </w:r>
    </w:p>
    <w:p w14:paraId="13AA1172">
      <w:pPr>
        <w:spacing w:line="240" w:lineRule="atLeast"/>
        <w:rPr>
          <w:rFonts w:hint="eastAsia" w:ascii="宋体" w:hAnsi="宋体"/>
          <w:szCs w:val="21"/>
          <w:lang w:eastAsia="zh-CN"/>
        </w:rPr>
      </w:pPr>
    </w:p>
    <w:p w14:paraId="3E582995">
      <w:pPr>
        <w:spacing w:line="240" w:lineRule="atLeast"/>
        <w:rPr>
          <w:rFonts w:ascii="楷体_GB2312" w:hAnsi="宋体" w:eastAsia="楷体_GB2312"/>
          <w:sz w:val="28"/>
          <w:szCs w:val="28"/>
          <w:lang w:eastAsia="zh-CN"/>
        </w:rPr>
      </w:pPr>
      <w:r>
        <w:rPr>
          <w:rFonts w:hint="eastAsia" w:ascii="宋体" w:hAnsi="宋体"/>
          <w:b/>
          <w:bCs/>
          <w:szCs w:val="21"/>
          <w:lang w:eastAsia="zh-CN"/>
        </w:rPr>
        <w:t>第二条</w:t>
      </w:r>
      <w:r>
        <w:rPr>
          <w:rFonts w:hint="eastAsia" w:ascii="宋体" w:hAnsi="宋体"/>
          <w:b/>
          <w:bCs/>
          <w:szCs w:val="21"/>
          <w:lang w:val="en-US" w:eastAsia="zh-CN"/>
        </w:rPr>
        <w:t xml:space="preserve"> </w:t>
      </w:r>
      <w:r>
        <w:rPr>
          <w:rFonts w:hint="eastAsia" w:ascii="宋体" w:hAnsi="宋体"/>
          <w:szCs w:val="21"/>
          <w:lang w:eastAsia="zh-CN"/>
        </w:rPr>
        <w:t>产品名称、型号及规格、数量、金额及交货期</w:t>
      </w:r>
    </w:p>
    <w:tbl>
      <w:tblPr>
        <w:tblStyle w:val="11"/>
        <w:tblpPr w:leftFromText="180" w:rightFromText="180" w:vertAnchor="text" w:horzAnchor="page" w:tblpX="1545" w:tblpY="104"/>
        <w:tblW w:w="92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80"/>
        <w:gridCol w:w="735"/>
        <w:gridCol w:w="2430"/>
        <w:gridCol w:w="720"/>
        <w:gridCol w:w="990"/>
        <w:gridCol w:w="1200"/>
        <w:gridCol w:w="1110"/>
        <w:gridCol w:w="590"/>
      </w:tblGrid>
      <w:tr w14:paraId="48A713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480" w:type="dxa"/>
            <w:tcBorders>
              <w:top w:val="single" w:color="auto" w:sz="4" w:space="0"/>
              <w:left w:val="single" w:color="auto" w:sz="4" w:space="0"/>
              <w:bottom w:val="single" w:color="auto" w:sz="6" w:space="0"/>
              <w:right w:val="single" w:color="auto" w:sz="6" w:space="0"/>
            </w:tcBorders>
            <w:noWrap/>
            <w:vAlign w:val="center"/>
          </w:tcPr>
          <w:p w14:paraId="684A6408">
            <w:pPr>
              <w:jc w:val="center"/>
              <w:rPr>
                <w:rFonts w:ascii="宋体" w:hAnsi="宋体"/>
              </w:rPr>
            </w:pPr>
            <w:r>
              <w:rPr>
                <w:rFonts w:hint="eastAsia" w:ascii="宋体" w:hAnsi="宋体"/>
              </w:rPr>
              <w:t>产品名称</w:t>
            </w:r>
          </w:p>
        </w:tc>
        <w:tc>
          <w:tcPr>
            <w:tcW w:w="735" w:type="dxa"/>
            <w:tcBorders>
              <w:top w:val="single" w:color="auto" w:sz="4" w:space="0"/>
              <w:left w:val="single" w:color="auto" w:sz="6" w:space="0"/>
              <w:bottom w:val="single" w:color="auto" w:sz="6" w:space="0"/>
              <w:right w:val="single" w:color="auto" w:sz="4" w:space="0"/>
            </w:tcBorders>
            <w:noWrap/>
            <w:vAlign w:val="center"/>
          </w:tcPr>
          <w:p w14:paraId="14D3A8E3">
            <w:pPr>
              <w:jc w:val="center"/>
              <w:rPr>
                <w:rFonts w:ascii="宋体" w:hAnsi="宋体"/>
              </w:rPr>
            </w:pPr>
            <w:r>
              <w:rPr>
                <w:rFonts w:hint="eastAsia" w:ascii="宋体" w:hAnsi="宋体"/>
              </w:rPr>
              <w:t>牌号</w:t>
            </w:r>
          </w:p>
          <w:p w14:paraId="2AFA5087">
            <w:pPr>
              <w:jc w:val="center"/>
              <w:rPr>
                <w:rFonts w:ascii="宋体" w:hAnsi="宋体"/>
              </w:rPr>
            </w:pPr>
            <w:r>
              <w:rPr>
                <w:rFonts w:hint="eastAsia" w:ascii="宋体" w:hAnsi="宋体"/>
              </w:rPr>
              <w:t>商标</w:t>
            </w:r>
          </w:p>
        </w:tc>
        <w:tc>
          <w:tcPr>
            <w:tcW w:w="2430" w:type="dxa"/>
            <w:tcBorders>
              <w:top w:val="single" w:color="auto" w:sz="4" w:space="0"/>
              <w:left w:val="single" w:color="auto" w:sz="4" w:space="0"/>
              <w:bottom w:val="single" w:color="auto" w:sz="6" w:space="0"/>
              <w:right w:val="single" w:color="auto" w:sz="6" w:space="0"/>
            </w:tcBorders>
            <w:noWrap/>
            <w:vAlign w:val="center"/>
          </w:tcPr>
          <w:p w14:paraId="2E52C374">
            <w:pPr>
              <w:jc w:val="center"/>
              <w:rPr>
                <w:rFonts w:ascii="宋体" w:hAnsi="宋体" w:eastAsia="宋体"/>
                <w:lang w:eastAsia="zh-CN"/>
              </w:rPr>
            </w:pPr>
            <w:r>
              <w:rPr>
                <w:rFonts w:hint="eastAsia" w:ascii="宋体" w:hAnsi="宋体" w:eastAsia="宋体"/>
                <w:lang w:eastAsia="zh-CN"/>
              </w:rPr>
              <w:t>质量要求</w:t>
            </w:r>
          </w:p>
        </w:tc>
        <w:tc>
          <w:tcPr>
            <w:tcW w:w="720" w:type="dxa"/>
            <w:tcBorders>
              <w:top w:val="single" w:color="auto" w:sz="4" w:space="0"/>
              <w:left w:val="single" w:color="auto" w:sz="6" w:space="0"/>
              <w:bottom w:val="single" w:color="auto" w:sz="6" w:space="0"/>
              <w:right w:val="single" w:color="auto" w:sz="6" w:space="0"/>
            </w:tcBorders>
            <w:noWrap/>
            <w:vAlign w:val="center"/>
          </w:tcPr>
          <w:p w14:paraId="48DD222F">
            <w:pPr>
              <w:jc w:val="center"/>
              <w:rPr>
                <w:rFonts w:ascii="宋体" w:hAnsi="宋体"/>
              </w:rPr>
            </w:pPr>
            <w:r>
              <w:rPr>
                <w:rFonts w:hint="eastAsia" w:ascii="宋体" w:hAnsi="宋体"/>
              </w:rPr>
              <w:t>计量</w:t>
            </w:r>
          </w:p>
          <w:p w14:paraId="00F90190">
            <w:pPr>
              <w:jc w:val="center"/>
              <w:rPr>
                <w:rFonts w:ascii="宋体" w:hAnsi="宋体"/>
              </w:rPr>
            </w:pPr>
            <w:r>
              <w:rPr>
                <w:rFonts w:hint="eastAsia" w:ascii="宋体" w:hAnsi="宋体"/>
              </w:rPr>
              <w:t>单位</w:t>
            </w:r>
          </w:p>
        </w:tc>
        <w:tc>
          <w:tcPr>
            <w:tcW w:w="990" w:type="dxa"/>
            <w:tcBorders>
              <w:top w:val="single" w:color="auto" w:sz="4" w:space="0"/>
              <w:left w:val="single" w:color="auto" w:sz="6" w:space="0"/>
              <w:bottom w:val="single" w:color="auto" w:sz="6" w:space="0"/>
              <w:right w:val="single" w:color="auto" w:sz="6" w:space="0"/>
            </w:tcBorders>
            <w:noWrap/>
            <w:vAlign w:val="center"/>
          </w:tcPr>
          <w:p w14:paraId="380C59FC">
            <w:pPr>
              <w:jc w:val="center"/>
              <w:rPr>
                <w:rFonts w:ascii="宋体" w:hAnsi="宋体"/>
              </w:rPr>
            </w:pPr>
            <w:r>
              <w:rPr>
                <w:rFonts w:hint="eastAsia" w:ascii="宋体" w:hAnsi="宋体"/>
                <w:lang w:eastAsia="zh-CN"/>
              </w:rPr>
              <w:t>年预估</w:t>
            </w:r>
            <w:r>
              <w:rPr>
                <w:rFonts w:hint="eastAsia" w:ascii="宋体" w:hAnsi="宋体"/>
              </w:rPr>
              <w:t>数量</w:t>
            </w:r>
          </w:p>
        </w:tc>
        <w:tc>
          <w:tcPr>
            <w:tcW w:w="1200" w:type="dxa"/>
            <w:tcBorders>
              <w:top w:val="single" w:color="auto" w:sz="4" w:space="0"/>
              <w:left w:val="single" w:color="auto" w:sz="6" w:space="0"/>
              <w:bottom w:val="single" w:color="auto" w:sz="6" w:space="0"/>
              <w:right w:val="single" w:color="auto" w:sz="6" w:space="0"/>
            </w:tcBorders>
            <w:noWrap/>
            <w:vAlign w:val="center"/>
          </w:tcPr>
          <w:p w14:paraId="55324C43">
            <w:pPr>
              <w:jc w:val="center"/>
              <w:rPr>
                <w:rFonts w:ascii="宋体" w:hAnsi="宋体"/>
                <w:lang w:eastAsia="zh-CN"/>
              </w:rPr>
            </w:pPr>
            <w:r>
              <w:rPr>
                <w:rFonts w:hint="eastAsia" w:ascii="宋体" w:hAnsi="宋体"/>
                <w:lang w:eastAsia="zh-CN"/>
              </w:rPr>
              <w:t>单价（含税）</w:t>
            </w:r>
          </w:p>
          <w:p w14:paraId="2BB17F35">
            <w:pPr>
              <w:jc w:val="center"/>
              <w:rPr>
                <w:rFonts w:ascii="宋体" w:hAnsi="宋体"/>
                <w:sz w:val="18"/>
                <w:szCs w:val="18"/>
                <w:lang w:eastAsia="zh-CN"/>
              </w:rPr>
            </w:pPr>
            <w:r>
              <w:rPr>
                <w:rFonts w:hint="eastAsia" w:ascii="楷体_GB2312" w:hAnsi="宋体" w:eastAsia="楷体_GB2312"/>
                <w:sz w:val="18"/>
                <w:szCs w:val="18"/>
                <w:lang w:eastAsia="zh-CN"/>
              </w:rPr>
              <w:t>（元/吨）</w:t>
            </w:r>
          </w:p>
        </w:tc>
        <w:tc>
          <w:tcPr>
            <w:tcW w:w="1110" w:type="dxa"/>
            <w:tcBorders>
              <w:top w:val="single" w:color="auto" w:sz="4" w:space="0"/>
              <w:left w:val="single" w:color="auto" w:sz="6" w:space="0"/>
              <w:bottom w:val="single" w:color="auto" w:sz="6" w:space="0"/>
              <w:right w:val="single" w:color="auto" w:sz="6" w:space="0"/>
            </w:tcBorders>
            <w:noWrap/>
            <w:vAlign w:val="center"/>
          </w:tcPr>
          <w:p w14:paraId="052230B9">
            <w:pPr>
              <w:jc w:val="center"/>
              <w:rPr>
                <w:rFonts w:ascii="宋体" w:hAnsi="宋体"/>
              </w:rPr>
            </w:pPr>
            <w:r>
              <w:rPr>
                <w:rFonts w:hint="eastAsia" w:ascii="宋体" w:hAnsi="宋体"/>
                <w:lang w:eastAsia="zh-CN"/>
              </w:rPr>
              <w:t>年预估</w:t>
            </w:r>
            <w:r>
              <w:rPr>
                <w:rFonts w:hint="eastAsia" w:ascii="宋体" w:hAnsi="宋体"/>
              </w:rPr>
              <w:t>金额</w:t>
            </w:r>
          </w:p>
          <w:p w14:paraId="25D27F04">
            <w:pPr>
              <w:jc w:val="center"/>
              <w:rPr>
                <w:rFonts w:ascii="宋体" w:hAnsi="宋体"/>
              </w:rPr>
            </w:pPr>
            <w:r>
              <w:rPr>
                <w:rFonts w:hint="eastAsia" w:ascii="楷体_GB2312" w:hAnsi="宋体" w:eastAsia="楷体_GB2312"/>
                <w:sz w:val="18"/>
                <w:szCs w:val="18"/>
              </w:rPr>
              <w:t>（元）</w:t>
            </w:r>
          </w:p>
        </w:tc>
        <w:tc>
          <w:tcPr>
            <w:tcW w:w="590" w:type="dxa"/>
            <w:tcBorders>
              <w:top w:val="single" w:color="auto" w:sz="4" w:space="0"/>
              <w:left w:val="single" w:color="auto" w:sz="6" w:space="0"/>
              <w:bottom w:val="single" w:color="auto" w:sz="6" w:space="0"/>
              <w:right w:val="single" w:color="auto" w:sz="4" w:space="0"/>
            </w:tcBorders>
            <w:noWrap/>
            <w:vAlign w:val="center"/>
          </w:tcPr>
          <w:p w14:paraId="7421AF00">
            <w:pPr>
              <w:jc w:val="center"/>
              <w:rPr>
                <w:rFonts w:ascii="宋体" w:hAnsi="宋体"/>
              </w:rPr>
            </w:pPr>
            <w:r>
              <w:rPr>
                <w:rFonts w:hint="eastAsia" w:ascii="宋体" w:hAnsi="宋体"/>
              </w:rPr>
              <w:t>备注</w:t>
            </w:r>
          </w:p>
        </w:tc>
      </w:tr>
      <w:tr w14:paraId="037657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480" w:type="dxa"/>
            <w:tcBorders>
              <w:top w:val="single" w:color="auto" w:sz="6" w:space="0"/>
              <w:left w:val="single" w:color="auto" w:sz="4" w:space="0"/>
              <w:bottom w:val="single" w:color="auto" w:sz="4" w:space="0"/>
              <w:right w:val="single" w:color="auto" w:sz="6" w:space="0"/>
            </w:tcBorders>
            <w:shd w:val="clear" w:color="auto" w:fill="auto"/>
            <w:noWrap/>
            <w:vAlign w:val="center"/>
          </w:tcPr>
          <w:p w14:paraId="49DB8BC3">
            <w:pPr>
              <w:adjustRightInd w:val="0"/>
              <w:snapToGrid w:val="0"/>
              <w:spacing w:line="360" w:lineRule="auto"/>
              <w:jc w:val="center"/>
              <w:rPr>
                <w:rFonts w:ascii="宋体" w:hAnsi="宋体" w:eastAsia="宋体" w:cs="Courier New"/>
                <w:bCs/>
                <w:color w:val="000000"/>
                <w:sz w:val="24"/>
                <w:szCs w:val="24"/>
                <w:lang w:val="en-US" w:eastAsia="zh-CN" w:bidi="en-US"/>
              </w:rPr>
            </w:pPr>
            <w:r>
              <w:rPr>
                <w:rFonts w:hint="eastAsia" w:ascii="宋体" w:hAnsi="宋体" w:eastAsia="宋体" w:cs="宋体"/>
                <w:color w:val="auto"/>
                <w:sz w:val="24"/>
                <w:szCs w:val="24"/>
                <w:highlight w:val="none"/>
                <w:shd w:val="clear" w:color="auto" w:fill="auto"/>
                <w:lang w:eastAsia="zh-CN"/>
              </w:rPr>
              <w:t>食品添加剂</w:t>
            </w:r>
            <w:r>
              <w:rPr>
                <w:rFonts w:hint="eastAsia" w:ascii="宋体" w:hAnsi="宋体" w:eastAsia="宋体" w:cs="宋体"/>
                <w:color w:val="auto"/>
                <w:sz w:val="24"/>
                <w:szCs w:val="24"/>
                <w:highlight w:val="none"/>
                <w:shd w:val="clear" w:color="auto" w:fill="auto"/>
                <w:lang w:val="en-US" w:eastAsia="zh-CN"/>
              </w:rPr>
              <w:t xml:space="preserve"> 聚丙烯酰胺</w:t>
            </w:r>
          </w:p>
        </w:tc>
        <w:tc>
          <w:tcPr>
            <w:tcW w:w="735" w:type="dxa"/>
            <w:tcBorders>
              <w:top w:val="single" w:color="auto" w:sz="6" w:space="0"/>
              <w:left w:val="single" w:color="auto" w:sz="6" w:space="0"/>
              <w:bottom w:val="single" w:color="auto" w:sz="4" w:space="0"/>
              <w:right w:val="single" w:color="auto" w:sz="4" w:space="0"/>
            </w:tcBorders>
            <w:noWrap/>
            <w:vAlign w:val="center"/>
          </w:tcPr>
          <w:p w14:paraId="6869BD0F">
            <w:pPr>
              <w:adjustRightInd w:val="0"/>
              <w:snapToGrid w:val="0"/>
              <w:spacing w:line="360" w:lineRule="auto"/>
              <w:jc w:val="center"/>
              <w:rPr>
                <w:rFonts w:ascii="宋体" w:hAnsi="宋体" w:eastAsia="宋体"/>
                <w:bCs/>
                <w:lang w:eastAsia="zh-CN"/>
              </w:rPr>
            </w:pPr>
          </w:p>
        </w:tc>
        <w:tc>
          <w:tcPr>
            <w:tcW w:w="2430" w:type="dxa"/>
            <w:tcBorders>
              <w:left w:val="single" w:color="auto" w:sz="4" w:space="0"/>
              <w:bottom w:val="single" w:color="auto" w:sz="4" w:space="0"/>
              <w:right w:val="single" w:color="auto" w:sz="6" w:space="0"/>
            </w:tcBorders>
            <w:shd w:val="clear" w:color="auto" w:fill="auto"/>
            <w:noWrap/>
            <w:vAlign w:val="center"/>
          </w:tcPr>
          <w:p w14:paraId="5CD0A321">
            <w:pPr>
              <w:autoSpaceDE w:val="0"/>
              <w:autoSpaceDN w:val="0"/>
              <w:adjustRightInd w:val="0"/>
              <w:snapToGrid w:val="0"/>
              <w:spacing w:line="360" w:lineRule="auto"/>
              <w:jc w:val="left"/>
              <w:rPr>
                <w:rFonts w:hint="default" w:ascii="宋体" w:hAnsi="宋体" w:eastAsia="Courier New" w:cs="宋体"/>
                <w:color w:val="auto"/>
                <w:kern w:val="0"/>
                <w:sz w:val="24"/>
                <w:szCs w:val="21"/>
                <w:highlight w:val="none"/>
                <w:lang w:val="en-US" w:eastAsia="zh-CN" w:bidi="en-US"/>
              </w:rPr>
            </w:pPr>
            <w:r>
              <w:rPr>
                <w:rFonts w:hint="eastAsia" w:ascii="宋体" w:hAnsi="宋体"/>
                <w:u w:val="none"/>
                <w:lang w:eastAsia="zh-CN"/>
              </w:rPr>
              <w:t>符合《食品安全国家标准</w:t>
            </w:r>
            <w:r>
              <w:rPr>
                <w:rFonts w:hint="eastAsia" w:ascii="宋体" w:hAnsi="宋体"/>
                <w:u w:val="none"/>
                <w:lang w:val="en-US" w:eastAsia="zh-CN"/>
              </w:rPr>
              <w:t xml:space="preserve"> 食品添加剂聚丙烯酰胺</w:t>
            </w:r>
            <w:r>
              <w:rPr>
                <w:rFonts w:hint="eastAsia" w:ascii="宋体" w:hAnsi="宋体" w:cs="宋体"/>
                <w:kern w:val="0"/>
                <w:sz w:val="21"/>
                <w:szCs w:val="21"/>
                <w:lang w:eastAsia="zh-CN"/>
              </w:rPr>
              <w:t>》</w:t>
            </w:r>
            <w:r>
              <w:rPr>
                <w:rFonts w:hint="eastAsia" w:ascii="宋体" w:hAnsi="宋体" w:cs="宋体"/>
                <w:kern w:val="0"/>
                <w:sz w:val="21"/>
                <w:szCs w:val="21"/>
                <w:lang w:val="en-US" w:eastAsia="zh-CN"/>
              </w:rPr>
              <w:t>（</w:t>
            </w:r>
            <w:r>
              <w:rPr>
                <w:rFonts w:hint="eastAsia" w:ascii="宋体" w:hAnsi="宋体" w:cs="宋体"/>
                <w:kern w:val="0"/>
                <w:sz w:val="21"/>
                <w:szCs w:val="21"/>
              </w:rPr>
              <w:t>GB</w:t>
            </w:r>
            <w:r>
              <w:rPr>
                <w:rFonts w:hint="eastAsia" w:ascii="宋体" w:hAnsi="宋体" w:eastAsia="宋体" w:cs="宋体"/>
                <w:kern w:val="0"/>
                <w:sz w:val="21"/>
                <w:szCs w:val="21"/>
                <w:lang w:val="en-US" w:eastAsia="zh-CN"/>
              </w:rPr>
              <w:t>31629-2014</w:t>
            </w:r>
            <w:r>
              <w:rPr>
                <w:rFonts w:hint="eastAsia" w:ascii="宋体" w:hAnsi="宋体" w:cs="Times New Roman"/>
                <w:szCs w:val="21"/>
                <w:lang w:val="en-US" w:eastAsia="zh-CN"/>
              </w:rPr>
              <w:t>）</w:t>
            </w:r>
          </w:p>
        </w:tc>
        <w:tc>
          <w:tcPr>
            <w:tcW w:w="720" w:type="dxa"/>
            <w:tcBorders>
              <w:top w:val="single" w:color="auto" w:sz="6" w:space="0"/>
              <w:left w:val="single" w:color="auto" w:sz="6" w:space="0"/>
              <w:bottom w:val="single" w:color="auto" w:sz="4" w:space="0"/>
              <w:right w:val="single" w:color="auto" w:sz="6" w:space="0"/>
            </w:tcBorders>
            <w:noWrap/>
            <w:vAlign w:val="center"/>
          </w:tcPr>
          <w:p w14:paraId="1720744E">
            <w:pPr>
              <w:widowControl/>
              <w:jc w:val="center"/>
              <w:textAlignment w:val="center"/>
              <w:rPr>
                <w:rFonts w:ascii="宋体" w:hAnsi="宋体" w:eastAsia="宋体"/>
                <w:bCs/>
                <w:kern w:val="2"/>
                <w:sz w:val="21"/>
                <w:lang w:eastAsia="zh-CN" w:bidi="ar-SA"/>
              </w:rPr>
            </w:pPr>
            <w:r>
              <w:rPr>
                <w:rFonts w:hint="eastAsia" w:ascii="宋体" w:hAnsi="宋体" w:eastAsia="宋体"/>
                <w:bCs/>
                <w:kern w:val="2"/>
                <w:sz w:val="21"/>
                <w:lang w:eastAsia="zh-CN" w:bidi="ar-SA"/>
              </w:rPr>
              <w:t>吨</w:t>
            </w:r>
          </w:p>
        </w:tc>
        <w:tc>
          <w:tcPr>
            <w:tcW w:w="990" w:type="dxa"/>
            <w:tcBorders>
              <w:top w:val="single" w:color="auto" w:sz="6" w:space="0"/>
              <w:left w:val="single" w:color="auto" w:sz="6" w:space="0"/>
              <w:bottom w:val="single" w:color="auto" w:sz="4" w:space="0"/>
              <w:right w:val="single" w:color="auto" w:sz="6" w:space="0"/>
            </w:tcBorders>
            <w:noWrap/>
            <w:vAlign w:val="center"/>
          </w:tcPr>
          <w:p w14:paraId="4EFA5CBC">
            <w:pPr>
              <w:widowControl/>
              <w:jc w:val="center"/>
              <w:textAlignment w:val="center"/>
              <w:rPr>
                <w:rFonts w:hint="default" w:ascii="宋体" w:hAnsi="宋体" w:eastAsia="宋体"/>
                <w:bCs/>
                <w:kern w:val="2"/>
                <w:sz w:val="21"/>
                <w:lang w:val="en-US" w:eastAsia="zh-CN" w:bidi="ar-SA"/>
              </w:rPr>
            </w:pPr>
            <w:r>
              <w:rPr>
                <w:rFonts w:hint="eastAsia" w:ascii="宋体" w:hAnsi="宋体" w:eastAsia="宋体"/>
                <w:bCs/>
                <w:kern w:val="2"/>
                <w:sz w:val="21"/>
                <w:lang w:val="en-US" w:eastAsia="zh-CN" w:bidi="ar-SA"/>
              </w:rPr>
              <w:t>12</w:t>
            </w:r>
          </w:p>
        </w:tc>
        <w:tc>
          <w:tcPr>
            <w:tcW w:w="1200" w:type="dxa"/>
            <w:tcBorders>
              <w:top w:val="single" w:color="auto" w:sz="6" w:space="0"/>
              <w:left w:val="single" w:color="auto" w:sz="6" w:space="0"/>
              <w:bottom w:val="single" w:color="auto" w:sz="4" w:space="0"/>
              <w:right w:val="single" w:color="auto" w:sz="6" w:space="0"/>
            </w:tcBorders>
            <w:noWrap/>
            <w:vAlign w:val="center"/>
          </w:tcPr>
          <w:p w14:paraId="6C268A13">
            <w:pPr>
              <w:widowControl/>
              <w:jc w:val="center"/>
              <w:textAlignment w:val="center"/>
              <w:rPr>
                <w:rFonts w:ascii="宋体" w:hAnsi="宋体" w:eastAsia="宋体"/>
                <w:bCs/>
                <w:kern w:val="2"/>
                <w:sz w:val="21"/>
                <w:lang w:eastAsia="zh-CN" w:bidi="ar-SA"/>
              </w:rPr>
            </w:pPr>
          </w:p>
        </w:tc>
        <w:tc>
          <w:tcPr>
            <w:tcW w:w="1110" w:type="dxa"/>
            <w:tcBorders>
              <w:top w:val="single" w:color="auto" w:sz="6" w:space="0"/>
              <w:left w:val="single" w:color="auto" w:sz="6" w:space="0"/>
              <w:bottom w:val="single" w:color="auto" w:sz="4" w:space="0"/>
              <w:right w:val="single" w:color="auto" w:sz="6" w:space="0"/>
            </w:tcBorders>
            <w:noWrap/>
            <w:vAlign w:val="center"/>
          </w:tcPr>
          <w:p w14:paraId="5ABA6C59">
            <w:pPr>
              <w:jc w:val="center"/>
              <w:rPr>
                <w:rFonts w:ascii="宋体" w:hAnsi="宋体" w:eastAsia="宋体"/>
                <w:lang w:eastAsia="zh-CN"/>
              </w:rPr>
            </w:pPr>
          </w:p>
        </w:tc>
        <w:tc>
          <w:tcPr>
            <w:tcW w:w="590" w:type="dxa"/>
            <w:tcBorders>
              <w:left w:val="single" w:color="auto" w:sz="6" w:space="0"/>
              <w:bottom w:val="single" w:color="auto" w:sz="4" w:space="0"/>
              <w:right w:val="single" w:color="auto" w:sz="4" w:space="0"/>
            </w:tcBorders>
            <w:noWrap/>
            <w:vAlign w:val="center"/>
          </w:tcPr>
          <w:p w14:paraId="2B975445">
            <w:pPr>
              <w:jc w:val="center"/>
              <w:rPr>
                <w:rFonts w:ascii="宋体" w:hAnsi="宋体" w:eastAsia="宋体"/>
                <w:lang w:eastAsia="zh-CN"/>
              </w:rPr>
            </w:pPr>
          </w:p>
        </w:tc>
      </w:tr>
      <w:tr w14:paraId="7B4820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480" w:type="dxa"/>
            <w:tcBorders>
              <w:top w:val="single" w:color="auto" w:sz="6" w:space="0"/>
              <w:left w:val="single" w:color="auto" w:sz="4" w:space="0"/>
              <w:bottom w:val="single" w:color="auto" w:sz="4" w:space="0"/>
              <w:right w:val="single" w:color="auto" w:sz="6" w:space="0"/>
            </w:tcBorders>
            <w:noWrap/>
            <w:vAlign w:val="center"/>
          </w:tcPr>
          <w:p w14:paraId="3503226E">
            <w:pPr>
              <w:widowControl/>
              <w:jc w:val="center"/>
              <w:textAlignment w:val="center"/>
              <w:rPr>
                <w:rFonts w:ascii="宋体" w:hAnsi="宋体" w:eastAsia="宋体"/>
                <w:bCs/>
                <w:kern w:val="2"/>
                <w:sz w:val="21"/>
                <w:lang w:eastAsia="zh-CN" w:bidi="ar-SA"/>
              </w:rPr>
            </w:pPr>
          </w:p>
        </w:tc>
        <w:tc>
          <w:tcPr>
            <w:tcW w:w="735" w:type="dxa"/>
            <w:tcBorders>
              <w:top w:val="single" w:color="auto" w:sz="6" w:space="0"/>
              <w:left w:val="single" w:color="auto" w:sz="6" w:space="0"/>
              <w:bottom w:val="single" w:color="auto" w:sz="4" w:space="0"/>
              <w:right w:val="single" w:color="auto" w:sz="4" w:space="0"/>
            </w:tcBorders>
            <w:noWrap/>
            <w:vAlign w:val="center"/>
          </w:tcPr>
          <w:p w14:paraId="0EDA9F2F">
            <w:pPr>
              <w:widowControl/>
              <w:jc w:val="center"/>
              <w:textAlignment w:val="center"/>
              <w:rPr>
                <w:rFonts w:ascii="宋体" w:hAnsi="宋体" w:eastAsia="宋体"/>
                <w:bCs/>
                <w:kern w:val="2"/>
                <w:sz w:val="21"/>
                <w:lang w:eastAsia="zh-CN" w:bidi="ar-SA"/>
              </w:rPr>
            </w:pPr>
          </w:p>
        </w:tc>
        <w:tc>
          <w:tcPr>
            <w:tcW w:w="2430" w:type="dxa"/>
            <w:tcBorders>
              <w:left w:val="single" w:color="auto" w:sz="4" w:space="0"/>
              <w:bottom w:val="single" w:color="auto" w:sz="4" w:space="0"/>
              <w:right w:val="single" w:color="auto" w:sz="6" w:space="0"/>
            </w:tcBorders>
            <w:noWrap/>
            <w:vAlign w:val="center"/>
          </w:tcPr>
          <w:p w14:paraId="5D4EBA44">
            <w:pPr>
              <w:widowControl/>
              <w:jc w:val="center"/>
              <w:textAlignment w:val="center"/>
              <w:rPr>
                <w:rFonts w:ascii="宋体" w:hAnsi="宋体" w:eastAsia="宋体"/>
                <w:bCs/>
                <w:kern w:val="2"/>
                <w:sz w:val="21"/>
                <w:lang w:eastAsia="zh-CN" w:bidi="ar-SA"/>
              </w:rPr>
            </w:pPr>
          </w:p>
        </w:tc>
        <w:tc>
          <w:tcPr>
            <w:tcW w:w="720" w:type="dxa"/>
            <w:tcBorders>
              <w:top w:val="single" w:color="auto" w:sz="6" w:space="0"/>
              <w:left w:val="single" w:color="auto" w:sz="6" w:space="0"/>
              <w:bottom w:val="single" w:color="auto" w:sz="4" w:space="0"/>
              <w:right w:val="single" w:color="auto" w:sz="6" w:space="0"/>
            </w:tcBorders>
            <w:noWrap/>
            <w:vAlign w:val="center"/>
          </w:tcPr>
          <w:p w14:paraId="1DEB1C73">
            <w:pPr>
              <w:widowControl/>
              <w:jc w:val="center"/>
              <w:textAlignment w:val="center"/>
              <w:rPr>
                <w:rFonts w:ascii="宋体" w:hAnsi="宋体" w:eastAsia="宋体"/>
                <w:bCs/>
                <w:kern w:val="2"/>
                <w:sz w:val="21"/>
                <w:lang w:eastAsia="zh-CN" w:bidi="ar-SA"/>
              </w:rPr>
            </w:pPr>
          </w:p>
        </w:tc>
        <w:tc>
          <w:tcPr>
            <w:tcW w:w="990" w:type="dxa"/>
            <w:tcBorders>
              <w:top w:val="single" w:color="auto" w:sz="6" w:space="0"/>
              <w:left w:val="single" w:color="auto" w:sz="6" w:space="0"/>
              <w:bottom w:val="single" w:color="auto" w:sz="4" w:space="0"/>
              <w:right w:val="single" w:color="auto" w:sz="6" w:space="0"/>
            </w:tcBorders>
            <w:noWrap/>
            <w:vAlign w:val="center"/>
          </w:tcPr>
          <w:p w14:paraId="0D95D032">
            <w:pPr>
              <w:widowControl/>
              <w:jc w:val="center"/>
              <w:textAlignment w:val="center"/>
              <w:rPr>
                <w:rFonts w:ascii="宋体" w:hAnsi="宋体" w:eastAsia="宋体"/>
                <w:bCs/>
                <w:kern w:val="2"/>
                <w:sz w:val="21"/>
                <w:lang w:eastAsia="zh-CN" w:bidi="ar-SA"/>
              </w:rPr>
            </w:pPr>
          </w:p>
        </w:tc>
        <w:tc>
          <w:tcPr>
            <w:tcW w:w="1200" w:type="dxa"/>
            <w:tcBorders>
              <w:top w:val="single" w:color="auto" w:sz="6" w:space="0"/>
              <w:left w:val="single" w:color="auto" w:sz="6" w:space="0"/>
              <w:bottom w:val="single" w:color="auto" w:sz="4" w:space="0"/>
              <w:right w:val="single" w:color="auto" w:sz="6" w:space="0"/>
            </w:tcBorders>
            <w:noWrap/>
            <w:vAlign w:val="center"/>
          </w:tcPr>
          <w:p w14:paraId="7B99CD94">
            <w:pPr>
              <w:widowControl/>
              <w:jc w:val="center"/>
              <w:textAlignment w:val="center"/>
              <w:rPr>
                <w:rFonts w:ascii="宋体" w:hAnsi="宋体" w:eastAsia="宋体"/>
                <w:bCs/>
                <w:kern w:val="2"/>
                <w:sz w:val="21"/>
                <w:lang w:eastAsia="zh-CN" w:bidi="ar-SA"/>
              </w:rPr>
            </w:pPr>
          </w:p>
        </w:tc>
        <w:tc>
          <w:tcPr>
            <w:tcW w:w="1110" w:type="dxa"/>
            <w:tcBorders>
              <w:top w:val="single" w:color="auto" w:sz="6" w:space="0"/>
              <w:left w:val="single" w:color="auto" w:sz="6" w:space="0"/>
              <w:bottom w:val="single" w:color="auto" w:sz="4" w:space="0"/>
              <w:right w:val="single" w:color="auto" w:sz="6" w:space="0"/>
            </w:tcBorders>
            <w:noWrap/>
            <w:vAlign w:val="center"/>
          </w:tcPr>
          <w:p w14:paraId="095DEF06">
            <w:pPr>
              <w:jc w:val="center"/>
              <w:rPr>
                <w:rFonts w:ascii="宋体" w:hAnsi="宋体" w:eastAsia="宋体"/>
                <w:kern w:val="2"/>
                <w:sz w:val="21"/>
                <w:lang w:eastAsia="zh-CN" w:bidi="ar-SA"/>
              </w:rPr>
            </w:pPr>
          </w:p>
        </w:tc>
        <w:tc>
          <w:tcPr>
            <w:tcW w:w="590" w:type="dxa"/>
            <w:tcBorders>
              <w:left w:val="single" w:color="auto" w:sz="6" w:space="0"/>
              <w:bottom w:val="single" w:color="auto" w:sz="4" w:space="0"/>
              <w:right w:val="single" w:color="auto" w:sz="4" w:space="0"/>
            </w:tcBorders>
            <w:noWrap/>
            <w:vAlign w:val="center"/>
          </w:tcPr>
          <w:p w14:paraId="3CB1DDA3">
            <w:pPr>
              <w:jc w:val="center"/>
              <w:rPr>
                <w:rFonts w:ascii="宋体" w:hAnsi="宋体" w:eastAsia="宋体"/>
                <w:kern w:val="2"/>
                <w:sz w:val="21"/>
                <w:lang w:eastAsia="zh-CN" w:bidi="ar-SA"/>
              </w:rPr>
            </w:pPr>
          </w:p>
        </w:tc>
      </w:tr>
      <w:tr w14:paraId="13D682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5365" w:type="dxa"/>
            <w:gridSpan w:val="4"/>
            <w:tcBorders>
              <w:top w:val="single" w:color="auto" w:sz="6" w:space="0"/>
              <w:left w:val="single" w:color="auto" w:sz="4" w:space="0"/>
              <w:bottom w:val="single" w:color="auto" w:sz="4" w:space="0"/>
              <w:right w:val="single" w:color="auto" w:sz="6" w:space="0"/>
            </w:tcBorders>
            <w:noWrap/>
            <w:vAlign w:val="center"/>
          </w:tcPr>
          <w:p w14:paraId="271F9CA9">
            <w:pPr>
              <w:widowControl/>
              <w:textAlignment w:val="center"/>
              <w:rPr>
                <w:rFonts w:ascii="宋体" w:hAnsi="宋体" w:eastAsia="宋体"/>
                <w:bCs/>
                <w:lang w:eastAsia="zh-CN"/>
              </w:rPr>
            </w:pPr>
            <w:r>
              <w:rPr>
                <w:rFonts w:hint="eastAsia" w:ascii="宋体" w:hAnsi="宋体" w:eastAsia="宋体"/>
                <w:bCs/>
                <w:lang w:eastAsia="zh-CN"/>
              </w:rPr>
              <w:t>合计人民币（小写）：元</w:t>
            </w:r>
          </w:p>
          <w:p w14:paraId="5502FFDC">
            <w:pPr>
              <w:widowControl/>
              <w:textAlignment w:val="center"/>
              <w:rPr>
                <w:rFonts w:ascii="宋体" w:hAnsi="宋体" w:eastAsia="宋体"/>
                <w:bCs/>
                <w:lang w:eastAsia="zh-CN"/>
              </w:rPr>
            </w:pPr>
            <w:r>
              <w:rPr>
                <w:rFonts w:hint="eastAsia" w:ascii="宋体" w:hAnsi="宋体" w:eastAsia="宋体"/>
                <w:bCs/>
                <w:lang w:eastAsia="zh-CN"/>
              </w:rPr>
              <w:t xml:space="preserve">（大写）：元整 </w:t>
            </w:r>
          </w:p>
        </w:tc>
        <w:tc>
          <w:tcPr>
            <w:tcW w:w="3890" w:type="dxa"/>
            <w:gridSpan w:val="4"/>
            <w:tcBorders>
              <w:top w:val="single" w:color="auto" w:sz="6" w:space="0"/>
              <w:left w:val="single" w:color="auto" w:sz="6" w:space="0"/>
              <w:bottom w:val="single" w:color="auto" w:sz="4" w:space="0"/>
              <w:right w:val="single" w:color="auto" w:sz="4" w:space="0"/>
            </w:tcBorders>
            <w:noWrap/>
            <w:vAlign w:val="center"/>
          </w:tcPr>
          <w:p w14:paraId="6031875C">
            <w:pPr>
              <w:rPr>
                <w:rFonts w:ascii="宋体" w:hAnsi="宋体"/>
                <w:szCs w:val="21"/>
                <w:lang w:eastAsia="zh-CN"/>
              </w:rPr>
            </w:pPr>
            <w:r>
              <w:rPr>
                <w:rFonts w:hint="eastAsia" w:ascii="宋体" w:hAnsi="宋体"/>
                <w:szCs w:val="21"/>
                <w:lang w:eastAsia="zh-CN"/>
              </w:rPr>
              <w:t>交货期：年度框架协议生效后5日内具备交货条件，按买受人通知供货，按实结算</w:t>
            </w:r>
          </w:p>
        </w:tc>
      </w:tr>
    </w:tbl>
    <w:p w14:paraId="3EFC8F1E">
      <w:pPr>
        <w:numPr>
          <w:ilvl w:val="0"/>
          <w:numId w:val="0"/>
        </w:numPr>
        <w:spacing w:line="420" w:lineRule="exact"/>
        <w:ind w:leftChars="0"/>
        <w:rPr>
          <w:rFonts w:hint="eastAsia" w:ascii="宋体" w:hAnsi="宋体"/>
          <w:szCs w:val="21"/>
          <w:lang w:eastAsia="zh-CN"/>
        </w:rPr>
      </w:pPr>
      <w:r>
        <w:rPr>
          <w:rFonts w:hint="eastAsia" w:ascii="宋体" w:hAnsi="宋体"/>
          <w:szCs w:val="21"/>
          <w:lang w:eastAsia="zh-CN"/>
        </w:rPr>
        <w:t>本年度框架协议价格为含13%增值税的交货价（增值税金额为人民币</w:t>
      </w:r>
      <w:r>
        <w:rPr>
          <w:rFonts w:hint="eastAsia" w:ascii="宋体" w:hAnsi="宋体"/>
          <w:szCs w:val="21"/>
          <w:lang w:val="en-US" w:eastAsia="zh-CN"/>
        </w:rPr>
        <w:t xml:space="preserve">   </w:t>
      </w:r>
      <w:r>
        <w:rPr>
          <w:rFonts w:hint="eastAsia" w:ascii="宋体" w:hAnsi="宋体"/>
          <w:szCs w:val="21"/>
          <w:lang w:eastAsia="zh-CN"/>
        </w:rPr>
        <w:t>元），包括但不限于包装费、运输费、保险费等其它一切费用。</w:t>
      </w:r>
    </w:p>
    <w:p w14:paraId="6335A71D">
      <w:pPr>
        <w:numPr>
          <w:ilvl w:val="0"/>
          <w:numId w:val="0"/>
        </w:numPr>
        <w:spacing w:line="420" w:lineRule="exact"/>
        <w:ind w:leftChars="0"/>
        <w:rPr>
          <w:rFonts w:ascii="宋体" w:hAnsi="宋体"/>
          <w:szCs w:val="21"/>
          <w:lang w:eastAsia="zh-CN"/>
        </w:rPr>
      </w:pPr>
      <w:r>
        <w:rPr>
          <w:rFonts w:hint="eastAsia" w:ascii="宋体" w:hAnsi="宋体"/>
          <w:b/>
          <w:bCs/>
          <w:szCs w:val="21"/>
          <w:lang w:eastAsia="zh-CN"/>
        </w:rPr>
        <w:t>第三条</w:t>
      </w:r>
      <w:r>
        <w:rPr>
          <w:rFonts w:hint="eastAsia" w:ascii="宋体" w:hAnsi="宋体"/>
          <w:szCs w:val="21"/>
          <w:lang w:val="en-US" w:eastAsia="zh-CN"/>
        </w:rPr>
        <w:t xml:space="preserve"> </w:t>
      </w:r>
      <w:r>
        <w:rPr>
          <w:rFonts w:hint="eastAsia" w:ascii="宋体" w:hAnsi="宋体"/>
          <w:szCs w:val="21"/>
          <w:lang w:eastAsia="zh-CN"/>
        </w:rPr>
        <w:t>质量要求、技术标准、出卖人对质量负责的条件和期限: 按</w:t>
      </w:r>
      <w:r>
        <w:rPr>
          <w:rFonts w:hint="eastAsia" w:ascii="宋体" w:hAnsi="宋体"/>
          <w:u w:val="none"/>
          <w:lang w:eastAsia="zh-CN"/>
        </w:rPr>
        <w:t>符合《食品安全国家标准</w:t>
      </w:r>
      <w:r>
        <w:rPr>
          <w:rFonts w:hint="eastAsia" w:ascii="宋体" w:hAnsi="宋体"/>
          <w:u w:val="none"/>
          <w:lang w:val="en-US" w:eastAsia="zh-CN"/>
        </w:rPr>
        <w:t xml:space="preserve"> 食品添加剂聚丙烯酰胺</w:t>
      </w:r>
      <w:r>
        <w:rPr>
          <w:rFonts w:hint="eastAsia" w:ascii="宋体" w:hAnsi="宋体" w:cs="宋体"/>
          <w:kern w:val="0"/>
          <w:sz w:val="21"/>
          <w:szCs w:val="21"/>
          <w:lang w:eastAsia="zh-CN"/>
        </w:rPr>
        <w:t>》</w:t>
      </w:r>
      <w:r>
        <w:rPr>
          <w:rFonts w:hint="eastAsia" w:ascii="宋体" w:hAnsi="宋体" w:cs="宋体"/>
          <w:kern w:val="0"/>
          <w:sz w:val="21"/>
          <w:szCs w:val="21"/>
          <w:lang w:val="en-US" w:eastAsia="zh-CN"/>
        </w:rPr>
        <w:t>（</w:t>
      </w:r>
      <w:r>
        <w:rPr>
          <w:rFonts w:hint="eastAsia" w:ascii="宋体" w:hAnsi="宋体" w:cs="宋体"/>
          <w:kern w:val="0"/>
          <w:sz w:val="21"/>
          <w:szCs w:val="21"/>
        </w:rPr>
        <w:t>GB</w:t>
      </w:r>
      <w:r>
        <w:rPr>
          <w:rFonts w:hint="eastAsia" w:ascii="宋体" w:hAnsi="宋体" w:eastAsia="宋体" w:cs="宋体"/>
          <w:kern w:val="0"/>
          <w:sz w:val="21"/>
          <w:szCs w:val="21"/>
          <w:lang w:val="en-US" w:eastAsia="zh-CN"/>
        </w:rPr>
        <w:t>31629-2014</w:t>
      </w:r>
      <w:r>
        <w:rPr>
          <w:rFonts w:hint="eastAsia" w:ascii="宋体" w:hAnsi="宋体" w:cs="Times New Roman"/>
          <w:szCs w:val="21"/>
          <w:lang w:val="en-US" w:eastAsia="zh-CN"/>
        </w:rPr>
        <w:t>）</w:t>
      </w:r>
      <w:r>
        <w:rPr>
          <w:rFonts w:hint="eastAsia" w:ascii="宋体" w:hAnsi="宋体"/>
          <w:szCs w:val="21"/>
          <w:lang w:eastAsia="zh-CN"/>
        </w:rPr>
        <w:t>；质保期为货到验收合格后不少于6个月。</w:t>
      </w:r>
    </w:p>
    <w:p w14:paraId="54A2CB7E">
      <w:pPr>
        <w:numPr>
          <w:ilvl w:val="0"/>
          <w:numId w:val="0"/>
        </w:numPr>
        <w:spacing w:line="420" w:lineRule="exact"/>
        <w:ind w:leftChars="0"/>
        <w:rPr>
          <w:rFonts w:ascii="宋体" w:hAnsi="宋体"/>
          <w:szCs w:val="21"/>
          <w:lang w:eastAsia="zh-CN"/>
        </w:rPr>
      </w:pPr>
      <w:r>
        <w:rPr>
          <w:rFonts w:hint="eastAsia" w:ascii="宋体" w:hAnsi="宋体"/>
          <w:b/>
          <w:bCs/>
          <w:szCs w:val="21"/>
          <w:lang w:eastAsia="zh-CN"/>
        </w:rPr>
        <w:t>第四条</w:t>
      </w:r>
      <w:r>
        <w:rPr>
          <w:rFonts w:hint="eastAsia" w:ascii="宋体" w:hAnsi="宋体"/>
          <w:b/>
          <w:bCs/>
          <w:szCs w:val="21"/>
          <w:lang w:val="en-US" w:eastAsia="zh-CN"/>
        </w:rPr>
        <w:t xml:space="preserve"> </w:t>
      </w:r>
      <w:r>
        <w:rPr>
          <w:rFonts w:hint="eastAsia" w:ascii="宋体" w:hAnsi="宋体"/>
          <w:szCs w:val="21"/>
          <w:lang w:eastAsia="zh-CN"/>
        </w:rPr>
        <w:t xml:space="preserve">交货地点：江苏省淮安市淮安区井神路，江苏苏盐井神股份有限公司仓库。 </w:t>
      </w:r>
    </w:p>
    <w:p w14:paraId="34066D98">
      <w:pPr>
        <w:numPr>
          <w:ilvl w:val="0"/>
          <w:numId w:val="0"/>
        </w:numPr>
        <w:spacing w:line="420" w:lineRule="exact"/>
        <w:ind w:leftChars="0"/>
        <w:rPr>
          <w:rFonts w:ascii="宋体" w:hAnsi="宋体"/>
          <w:szCs w:val="21"/>
          <w:lang w:eastAsia="zh-CN"/>
        </w:rPr>
      </w:pPr>
      <w:r>
        <w:rPr>
          <w:rFonts w:hint="eastAsia" w:ascii="宋体" w:hAnsi="宋体"/>
          <w:b/>
          <w:bCs/>
          <w:szCs w:val="21"/>
          <w:lang w:eastAsia="zh-CN"/>
        </w:rPr>
        <w:t>第五条</w:t>
      </w:r>
      <w:r>
        <w:rPr>
          <w:rFonts w:hint="eastAsia" w:ascii="宋体" w:hAnsi="宋体"/>
          <w:szCs w:val="21"/>
          <w:lang w:val="en-US" w:eastAsia="zh-CN"/>
        </w:rPr>
        <w:t xml:space="preserve"> </w:t>
      </w:r>
      <w:r>
        <w:rPr>
          <w:rFonts w:hint="eastAsia" w:ascii="宋体" w:hAnsi="宋体"/>
          <w:szCs w:val="21"/>
          <w:lang w:eastAsia="zh-CN"/>
        </w:rPr>
        <w:t>运输方式及到达站（港）和费用负担：出卖人负责送货上门，确保产品安全送到交货地点，如途中有损失，由出卖人承担全部损失；运输费用由出卖人承担。</w:t>
      </w:r>
    </w:p>
    <w:p w14:paraId="4DC77272">
      <w:pPr>
        <w:numPr>
          <w:ilvl w:val="0"/>
          <w:numId w:val="0"/>
        </w:numPr>
        <w:spacing w:line="420" w:lineRule="exact"/>
        <w:ind w:leftChars="0"/>
        <w:rPr>
          <w:rFonts w:ascii="宋体" w:hAnsi="宋体"/>
          <w:szCs w:val="21"/>
          <w:lang w:eastAsia="zh-CN"/>
        </w:rPr>
      </w:pPr>
      <w:r>
        <w:rPr>
          <w:rFonts w:hint="eastAsia" w:ascii="宋体" w:hAnsi="宋体"/>
          <w:b/>
          <w:bCs/>
          <w:szCs w:val="21"/>
          <w:lang w:eastAsia="zh-CN"/>
        </w:rPr>
        <w:t>第六条</w:t>
      </w:r>
      <w:r>
        <w:rPr>
          <w:rFonts w:hint="eastAsia" w:ascii="宋体" w:hAnsi="宋体"/>
          <w:b/>
          <w:bCs/>
          <w:szCs w:val="21"/>
          <w:lang w:val="en-US" w:eastAsia="zh-CN"/>
        </w:rPr>
        <w:t xml:space="preserve"> </w:t>
      </w:r>
      <w:r>
        <w:rPr>
          <w:rFonts w:hint="eastAsia" w:ascii="宋体" w:hAnsi="宋体"/>
          <w:szCs w:val="21"/>
          <w:lang w:eastAsia="zh-CN"/>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2A2EE00F">
      <w:pPr>
        <w:numPr>
          <w:ilvl w:val="0"/>
          <w:numId w:val="0"/>
        </w:numPr>
        <w:spacing w:line="420" w:lineRule="exact"/>
        <w:ind w:leftChars="0"/>
        <w:rPr>
          <w:rFonts w:ascii="宋体" w:hAnsi="宋体"/>
          <w:szCs w:val="21"/>
          <w:lang w:eastAsia="zh-CN"/>
        </w:rPr>
      </w:pPr>
      <w:r>
        <w:rPr>
          <w:rFonts w:hint="eastAsia" w:ascii="宋体" w:hAnsi="宋体"/>
          <w:b/>
          <w:bCs/>
          <w:szCs w:val="21"/>
          <w:lang w:eastAsia="zh-CN"/>
        </w:rPr>
        <w:t>第七条</w:t>
      </w:r>
      <w:r>
        <w:rPr>
          <w:rFonts w:hint="eastAsia" w:ascii="宋体" w:hAnsi="宋体"/>
          <w:szCs w:val="21"/>
          <w:lang w:val="en-US" w:eastAsia="zh-CN"/>
        </w:rPr>
        <w:t xml:space="preserve"> </w:t>
      </w:r>
      <w:r>
        <w:rPr>
          <w:rFonts w:hint="eastAsia" w:ascii="宋体" w:hAnsi="宋体"/>
          <w:szCs w:val="21"/>
          <w:lang w:eastAsia="zh-CN"/>
        </w:rPr>
        <w:t>包装标准、包装物的供应回收及费用：产品</w:t>
      </w:r>
      <w:r>
        <w:rPr>
          <w:rFonts w:ascii="Arial Narrow" w:hAnsi="Arial Narrow" w:cs="宋体"/>
          <w:szCs w:val="21"/>
          <w:lang w:eastAsia="zh-CN"/>
        </w:rPr>
        <w:t>包装</w:t>
      </w:r>
      <w:r>
        <w:rPr>
          <w:rFonts w:hint="eastAsia" w:ascii="Arial Narrow" w:hAnsi="Arial Narrow" w:cs="宋体"/>
          <w:szCs w:val="21"/>
          <w:lang w:eastAsia="zh-CN"/>
        </w:rPr>
        <w:t>由出卖人按</w:t>
      </w:r>
      <w:r>
        <w:rPr>
          <w:rFonts w:ascii="Arial Narrow" w:hAnsi="Arial Narrow" w:cs="宋体"/>
          <w:szCs w:val="21"/>
          <w:lang w:eastAsia="zh-CN"/>
        </w:rPr>
        <w:t>国家或业务主管部门技术规定执行；</w:t>
      </w:r>
      <w:r>
        <w:rPr>
          <w:rFonts w:hint="eastAsia" w:ascii="Arial Narrow" w:hAnsi="Arial Narrow" w:cs="宋体"/>
          <w:szCs w:val="21"/>
          <w:lang w:eastAsia="zh-CN"/>
        </w:rPr>
        <w:t>包装物不回收，费</w:t>
      </w:r>
      <w:r>
        <w:rPr>
          <w:rFonts w:hint="eastAsia" w:ascii="宋体" w:hAnsi="宋体"/>
          <w:szCs w:val="21"/>
          <w:lang w:eastAsia="zh-CN"/>
        </w:rPr>
        <w:t>用由出卖人承担。</w:t>
      </w:r>
    </w:p>
    <w:p w14:paraId="27CEB4C8">
      <w:pPr>
        <w:numPr>
          <w:ilvl w:val="0"/>
          <w:numId w:val="0"/>
        </w:numPr>
        <w:spacing w:line="420" w:lineRule="exact"/>
        <w:ind w:leftChars="0"/>
        <w:rPr>
          <w:rFonts w:ascii="宋体" w:hAnsi="宋体"/>
          <w:szCs w:val="21"/>
          <w:lang w:eastAsia="zh-CN"/>
        </w:rPr>
      </w:pPr>
      <w:r>
        <w:rPr>
          <w:rFonts w:hint="eastAsia" w:ascii="宋体" w:hAnsi="宋体"/>
          <w:b/>
          <w:bCs/>
          <w:szCs w:val="21"/>
          <w:lang w:eastAsia="zh-CN"/>
        </w:rPr>
        <w:t>第八条</w:t>
      </w:r>
      <w:r>
        <w:rPr>
          <w:rFonts w:hint="eastAsia" w:ascii="宋体" w:hAnsi="宋体"/>
          <w:szCs w:val="21"/>
          <w:lang w:val="en-US" w:eastAsia="zh-CN"/>
        </w:rPr>
        <w:t xml:space="preserve"> </w:t>
      </w:r>
      <w:r>
        <w:rPr>
          <w:rFonts w:hint="eastAsia" w:ascii="宋体" w:hAnsi="宋体"/>
          <w:szCs w:val="21"/>
          <w:lang w:eastAsia="zh-CN"/>
        </w:rPr>
        <w:t>验收标准、方法及提出异议期限：</w:t>
      </w:r>
      <w:r>
        <w:rPr>
          <w:rFonts w:hint="eastAsia" w:ascii="宋体" w:hAnsi="宋体" w:cs="Arial"/>
          <w:szCs w:val="21"/>
          <w:lang w:eastAsia="zh-CN"/>
        </w:rPr>
        <w:t>产品出厂前出卖人按本年度框架协议第三条规定的标准进行严格的检验，确保产品符合年度框架协议要求。货到后，由买受人</w:t>
      </w:r>
      <w:r>
        <w:rPr>
          <w:rFonts w:hint="eastAsia" w:ascii="宋体" w:hAnsi="宋体"/>
          <w:szCs w:val="21"/>
          <w:lang w:eastAsia="zh-CN"/>
        </w:rPr>
        <w:t>按本年度框架协议第三条规定的标准进行初步验收，初步验收是指对货物的型号、规格、尺寸、数量、外观、出厂日期等方面的检验，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2E2A173C">
      <w:pPr>
        <w:numPr>
          <w:ilvl w:val="0"/>
          <w:numId w:val="0"/>
        </w:numPr>
        <w:spacing w:line="420" w:lineRule="exact"/>
        <w:ind w:leftChars="0"/>
        <w:rPr>
          <w:rFonts w:ascii="宋体" w:hAnsi="宋体"/>
          <w:szCs w:val="21"/>
          <w:lang w:eastAsia="zh-CN"/>
        </w:rPr>
      </w:pPr>
      <w:r>
        <w:rPr>
          <w:rFonts w:hint="eastAsia" w:ascii="宋体" w:hAnsi="宋体"/>
          <w:b/>
          <w:bCs/>
          <w:szCs w:val="21"/>
          <w:lang w:eastAsia="zh-CN"/>
        </w:rPr>
        <w:t>第九条</w:t>
      </w:r>
      <w:r>
        <w:rPr>
          <w:rFonts w:hint="eastAsia" w:ascii="宋体" w:hAnsi="宋体"/>
          <w:szCs w:val="21"/>
          <w:lang w:val="en-US" w:eastAsia="zh-CN"/>
        </w:rPr>
        <w:t xml:space="preserve"> </w:t>
      </w:r>
      <w:r>
        <w:rPr>
          <w:rFonts w:hint="eastAsia" w:ascii="宋体" w:hAnsi="宋体"/>
          <w:szCs w:val="21"/>
          <w:lang w:eastAsia="zh-CN"/>
        </w:rPr>
        <w:t>供货过程中，按国家有关规定及我公司要求，负责安全、环保等事项。</w:t>
      </w:r>
    </w:p>
    <w:p w14:paraId="4D636D6E">
      <w:pPr>
        <w:numPr>
          <w:ilvl w:val="0"/>
          <w:numId w:val="0"/>
        </w:numPr>
        <w:spacing w:line="420" w:lineRule="exact"/>
        <w:ind w:leftChars="0"/>
        <w:rPr>
          <w:rFonts w:ascii="宋体" w:hAnsi="宋体"/>
          <w:szCs w:val="21"/>
          <w:lang w:eastAsia="zh-CN"/>
        </w:rPr>
      </w:pPr>
      <w:r>
        <w:rPr>
          <w:rFonts w:hint="eastAsia" w:ascii="宋体" w:hAnsi="宋体"/>
          <w:b/>
          <w:bCs/>
          <w:szCs w:val="21"/>
          <w:lang w:eastAsia="zh-CN"/>
        </w:rPr>
        <w:t>第十条</w:t>
      </w:r>
      <w:r>
        <w:rPr>
          <w:rFonts w:hint="eastAsia" w:ascii="宋体" w:hAnsi="宋体"/>
          <w:szCs w:val="21"/>
          <w:lang w:val="en-US" w:eastAsia="zh-CN"/>
        </w:rPr>
        <w:t xml:space="preserve"> </w:t>
      </w:r>
      <w:r>
        <w:rPr>
          <w:rFonts w:hint="eastAsia" w:ascii="宋体" w:hAnsi="宋体"/>
          <w:szCs w:val="21"/>
          <w:lang w:eastAsia="zh-CN"/>
        </w:rPr>
        <w:t>结</w:t>
      </w:r>
      <w:r>
        <w:rPr>
          <w:rFonts w:hint="eastAsia" w:ascii="宋体" w:hAnsi="宋体"/>
          <w:bCs/>
          <w:szCs w:val="21"/>
          <w:lang w:eastAsia="zh-CN"/>
        </w:rPr>
        <w:t>算</w:t>
      </w:r>
      <w:r>
        <w:rPr>
          <w:rFonts w:hint="eastAsia" w:ascii="宋体" w:hAnsi="宋体"/>
          <w:szCs w:val="21"/>
          <w:lang w:eastAsia="zh-CN"/>
        </w:rPr>
        <w:t>方式</w:t>
      </w:r>
      <w:r>
        <w:rPr>
          <w:rFonts w:hint="eastAsia" w:ascii="宋体" w:hAnsi="宋体"/>
          <w:bCs/>
          <w:szCs w:val="21"/>
          <w:lang w:eastAsia="zh-CN"/>
        </w:rPr>
        <w:t>及期限：</w:t>
      </w:r>
      <w:r>
        <w:rPr>
          <w:rFonts w:hint="eastAsia" w:ascii="宋体" w:hAnsi="宋体"/>
          <w:szCs w:val="21"/>
          <w:lang w:eastAsia="zh-CN"/>
        </w:rPr>
        <w:t>货到买受人现场并经买受人清点和初步验收合格，出卖人提供全额13%增值税发票给买受人后，买受人再承付货款。</w:t>
      </w:r>
    </w:p>
    <w:p w14:paraId="31185FFC">
      <w:pPr>
        <w:spacing w:line="420" w:lineRule="exact"/>
        <w:ind w:left="-1" w:leftChars="0" w:firstLine="0" w:firstLineChars="0"/>
        <w:rPr>
          <w:szCs w:val="21"/>
          <w:lang w:eastAsia="zh-CN"/>
        </w:rPr>
      </w:pPr>
      <w:r>
        <w:rPr>
          <w:rFonts w:hint="eastAsia" w:ascii="宋体" w:hAnsi="宋体"/>
          <w:b/>
          <w:bCs/>
          <w:szCs w:val="21"/>
          <w:lang w:eastAsia="zh-CN"/>
        </w:rPr>
        <w:t>第十一条</w:t>
      </w:r>
      <w:r>
        <w:rPr>
          <w:rFonts w:hint="eastAsia" w:ascii="宋体" w:hAnsi="宋体"/>
          <w:b/>
          <w:bCs/>
          <w:szCs w:val="21"/>
          <w:lang w:val="en-US" w:eastAsia="zh-CN"/>
        </w:rPr>
        <w:t xml:space="preserve"> </w:t>
      </w:r>
      <w:r>
        <w:rPr>
          <w:rFonts w:hint="eastAsia" w:ascii="宋体" w:hAnsi="宋体"/>
          <w:szCs w:val="21"/>
          <w:lang w:eastAsia="zh-CN"/>
        </w:rPr>
        <w:t>违约责任：1、</w:t>
      </w:r>
      <w:r>
        <w:rPr>
          <w:rFonts w:hint="eastAsia" w:ascii="宋体" w:hAnsi="宋体" w:cs="Arial"/>
          <w:szCs w:val="21"/>
          <w:lang w:eastAsia="zh-CN"/>
        </w:rPr>
        <w:t>出卖人</w:t>
      </w:r>
      <w:r>
        <w:rPr>
          <w:rFonts w:hint="eastAsia"/>
          <w:szCs w:val="21"/>
          <w:lang w:eastAsia="zh-CN"/>
        </w:rPr>
        <w:t>延期交货的，每天按年度框架协议总价款1%向买受人支付违约金；延期交货不得超过10天，超期后买受人有权解除年度框架协议，并向买受人支付年度框架协议总价款20%的违约金，违约金不足赔偿买受人损失的，不足部分另行赔偿。2、其他违约按本年度框架协议规定的条款执行，本年度框架协议未有规定的，按《中华人民共和国民法典》有关规定执行。</w:t>
      </w:r>
    </w:p>
    <w:p w14:paraId="164B16A0">
      <w:pPr>
        <w:spacing w:line="420" w:lineRule="exact"/>
        <w:ind w:left="-1" w:leftChars="0" w:firstLine="0" w:firstLineChars="0"/>
        <w:rPr>
          <w:rFonts w:ascii="宋体" w:hAnsi="宋体"/>
          <w:szCs w:val="21"/>
          <w:lang w:eastAsia="zh-CN"/>
        </w:rPr>
      </w:pPr>
      <w:r>
        <w:rPr>
          <w:rFonts w:hint="eastAsia" w:ascii="宋体" w:hAnsi="宋体"/>
          <w:b/>
          <w:szCs w:val="21"/>
          <w:lang w:eastAsia="zh-CN"/>
        </w:rPr>
        <w:t>第十二条</w:t>
      </w:r>
      <w:r>
        <w:rPr>
          <w:rFonts w:hint="eastAsia" w:ascii="宋体" w:hAnsi="宋体"/>
          <w:szCs w:val="21"/>
          <w:lang w:eastAsia="zh-CN"/>
        </w:rPr>
        <w:t>年度框架协议争议的解决方式：双方在履行年度框架协议过程中如发生争议，协商解决；协商不成时，向买受人江苏苏盐井神股份有限公司所在地人民法院起诉。</w:t>
      </w:r>
    </w:p>
    <w:p w14:paraId="27B91EDD">
      <w:pPr>
        <w:spacing w:line="360" w:lineRule="auto"/>
        <w:ind w:left="-1" w:leftChars="0" w:firstLine="0" w:firstLineChars="0"/>
        <w:jc w:val="both"/>
        <w:rPr>
          <w:rFonts w:hint="eastAsia" w:ascii="宋体" w:hAnsi="宋体"/>
          <w:color w:val="auto"/>
          <w:szCs w:val="21"/>
          <w:highlight w:val="none"/>
        </w:rPr>
      </w:pPr>
      <w:r>
        <w:rPr>
          <w:rFonts w:hint="eastAsia" w:ascii="宋体" w:hAnsi="宋体"/>
          <w:b/>
          <w:szCs w:val="21"/>
          <w:lang w:eastAsia="zh-CN"/>
        </w:rPr>
        <w:t>第十三条</w:t>
      </w:r>
      <w:r>
        <w:rPr>
          <w:rFonts w:hint="eastAsia" w:ascii="宋体" w:hAnsi="宋体"/>
          <w:szCs w:val="21"/>
          <w:lang w:eastAsia="zh-CN"/>
        </w:rPr>
        <w:t xml:space="preserve">  其它约定事项：1、按实际物资到货数量计算；如有未尽事宜双方协商解决或订立补充协议，补充协议与本年度框架协议具有同等法律效力。2、本年度框架协议经双方法定代表人或委托代理人签字并加盖单位印章后生效；3、本年度框架协议一式陆份，买受人执肆份，</w:t>
      </w:r>
      <w:r>
        <w:rPr>
          <w:rFonts w:hint="eastAsia"/>
          <w:color w:val="auto"/>
          <w:szCs w:val="21"/>
          <w:lang w:eastAsia="zh-CN"/>
        </w:rPr>
        <w:t>4</w:t>
      </w:r>
      <w:r>
        <w:rPr>
          <w:rFonts w:hint="eastAsia"/>
          <w:color w:val="auto"/>
          <w:lang w:eastAsia="zh-CN"/>
        </w:rPr>
        <w:t>、</w:t>
      </w:r>
      <w:r>
        <w:rPr>
          <w:rFonts w:hint="eastAsia"/>
          <w:color w:val="auto"/>
          <w:szCs w:val="21"/>
          <w:lang w:eastAsia="zh-CN"/>
        </w:rPr>
        <w:t>本年度框架协议中货物在运输、卸货过程中的一切安全责任由出卖人承担</w:t>
      </w:r>
      <w:r>
        <w:rPr>
          <w:rFonts w:hint="eastAsia" w:ascii="宋体" w:hAnsi="宋体" w:cs="Arial"/>
          <w:color w:val="auto"/>
          <w:szCs w:val="21"/>
          <w:highlight w:val="none"/>
        </w:rPr>
        <w:t>。</w:t>
      </w:r>
    </w:p>
    <w:p w14:paraId="64275007">
      <w:pPr>
        <w:widowControl/>
        <w:adjustRightInd w:val="0"/>
        <w:snapToGrid w:val="0"/>
        <w:spacing w:line="360" w:lineRule="auto"/>
        <w:rPr>
          <w:rFonts w:hint="eastAsia"/>
          <w:szCs w:val="21"/>
          <w:u w:val="single"/>
        </w:rPr>
      </w:pPr>
    </w:p>
    <w:tbl>
      <w:tblPr>
        <w:tblStyle w:val="11"/>
        <w:tblW w:w="9127"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20"/>
        <w:gridCol w:w="5007"/>
      </w:tblGrid>
      <w:tr w14:paraId="4FF7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120" w:type="dxa"/>
            <w:tcBorders>
              <w:top w:val="single" w:color="auto" w:sz="4" w:space="0"/>
              <w:left w:val="single" w:color="auto" w:sz="4" w:space="0"/>
              <w:bottom w:val="single" w:color="auto" w:sz="4" w:space="0"/>
              <w:right w:val="single" w:color="auto" w:sz="4" w:space="0"/>
            </w:tcBorders>
            <w:noWrap w:val="0"/>
            <w:vAlign w:val="top"/>
          </w:tcPr>
          <w:p w14:paraId="3EAEF107">
            <w:pPr>
              <w:spacing w:line="240" w:lineRule="atLeast"/>
              <w:jc w:val="center"/>
              <w:rPr>
                <w:rFonts w:hint="eastAsia" w:ascii="宋体" w:hAnsi="宋体"/>
                <w:szCs w:val="21"/>
              </w:rPr>
            </w:pPr>
            <w:r>
              <w:rPr>
                <w:rFonts w:hint="eastAsia" w:ascii="宋体" w:hAnsi="宋体"/>
                <w:szCs w:val="21"/>
              </w:rPr>
              <w:t>出卖人</w:t>
            </w:r>
          </w:p>
          <w:p w14:paraId="2B522CAC">
            <w:pPr>
              <w:spacing w:line="240" w:lineRule="atLeast"/>
              <w:rPr>
                <w:rFonts w:hint="eastAsia" w:ascii="宋体" w:hAnsi="宋体"/>
                <w:szCs w:val="21"/>
              </w:rPr>
            </w:pPr>
            <w:r>
              <w:rPr>
                <w:rFonts w:hint="eastAsia" w:ascii="宋体" w:hAnsi="宋体"/>
                <w:szCs w:val="21"/>
              </w:rPr>
              <w:t>单位名称（章）</w:t>
            </w:r>
            <w:r>
              <w:rPr>
                <w:rFonts w:hint="eastAsia" w:ascii="宋体" w:hAnsi="宋体"/>
                <w:color w:val="000000"/>
                <w:szCs w:val="21"/>
              </w:rPr>
              <w:t>：</w:t>
            </w:r>
            <w:r>
              <w:rPr>
                <w:rFonts w:hint="eastAsia"/>
                <w:szCs w:val="21"/>
              </w:rPr>
              <w:t xml:space="preserve"> </w:t>
            </w:r>
          </w:p>
          <w:p w14:paraId="2B87812D">
            <w:pPr>
              <w:spacing w:line="240" w:lineRule="atLeast"/>
              <w:rPr>
                <w:rFonts w:hint="eastAsia" w:ascii="宋体" w:hAnsi="宋体"/>
                <w:szCs w:val="21"/>
              </w:rPr>
            </w:pPr>
            <w:r>
              <w:rPr>
                <w:rFonts w:hint="eastAsia" w:ascii="宋体" w:hAnsi="宋体"/>
                <w:szCs w:val="21"/>
              </w:rPr>
              <w:t>单位地址：</w:t>
            </w:r>
          </w:p>
          <w:p w14:paraId="5A31A5A2">
            <w:pPr>
              <w:spacing w:line="240" w:lineRule="atLeast"/>
              <w:rPr>
                <w:rFonts w:hint="eastAsia" w:ascii="宋体" w:hAnsi="宋体"/>
                <w:szCs w:val="21"/>
              </w:rPr>
            </w:pPr>
            <w:r>
              <w:rPr>
                <w:rFonts w:hint="eastAsia" w:ascii="宋体" w:hAnsi="宋体"/>
                <w:szCs w:val="21"/>
              </w:rPr>
              <w:t xml:space="preserve">法定代表人： </w:t>
            </w:r>
          </w:p>
          <w:p w14:paraId="50E5FAC6">
            <w:pPr>
              <w:spacing w:line="240" w:lineRule="atLeast"/>
              <w:rPr>
                <w:rFonts w:hint="eastAsia" w:ascii="宋体" w:hAnsi="宋体"/>
                <w:szCs w:val="21"/>
              </w:rPr>
            </w:pPr>
            <w:r>
              <w:rPr>
                <w:rFonts w:hint="eastAsia" w:ascii="宋体" w:hAnsi="宋体"/>
                <w:szCs w:val="21"/>
              </w:rPr>
              <w:t>委托代理人：</w:t>
            </w:r>
          </w:p>
          <w:p w14:paraId="79576604">
            <w:pPr>
              <w:spacing w:line="240" w:lineRule="atLeast"/>
              <w:rPr>
                <w:rFonts w:hint="eastAsia"/>
              </w:rPr>
            </w:pPr>
            <w:r>
              <w:rPr>
                <w:rFonts w:hint="eastAsia" w:ascii="宋体" w:hAnsi="宋体" w:cs="宋体"/>
                <w:bCs/>
                <w:szCs w:val="21"/>
              </w:rPr>
              <w:t>签订时间</w:t>
            </w:r>
            <w:r>
              <w:rPr>
                <w:rFonts w:hint="eastAsia" w:ascii="宋体" w:hAnsi="宋体" w:cs="宋体"/>
                <w:szCs w:val="21"/>
              </w:rPr>
              <w:t>：             年  月   日</w:t>
            </w:r>
          </w:p>
          <w:p w14:paraId="45F5B850">
            <w:pPr>
              <w:spacing w:line="240" w:lineRule="atLeast"/>
              <w:rPr>
                <w:rFonts w:hint="eastAsia" w:ascii="宋体" w:hAnsi="宋体"/>
                <w:szCs w:val="21"/>
              </w:rPr>
            </w:pPr>
            <w:r>
              <w:rPr>
                <w:rFonts w:hint="eastAsia" w:ascii="宋体" w:hAnsi="宋体"/>
                <w:szCs w:val="21"/>
              </w:rPr>
              <w:t>电   话：</w:t>
            </w:r>
          </w:p>
          <w:p w14:paraId="54E753A5">
            <w:pPr>
              <w:spacing w:line="240" w:lineRule="atLeast"/>
              <w:rPr>
                <w:rFonts w:hint="eastAsia" w:ascii="宋体" w:hAnsi="宋体"/>
                <w:szCs w:val="21"/>
              </w:rPr>
            </w:pPr>
            <w:r>
              <w:rPr>
                <w:rFonts w:hint="eastAsia" w:ascii="宋体" w:hAnsi="宋体"/>
                <w:szCs w:val="21"/>
              </w:rPr>
              <w:t>传   真：</w:t>
            </w:r>
          </w:p>
          <w:p w14:paraId="237DA3D5">
            <w:pPr>
              <w:spacing w:line="240" w:lineRule="atLeast"/>
              <w:rPr>
                <w:rFonts w:hint="eastAsia" w:ascii="宋体" w:hAnsi="宋体"/>
                <w:szCs w:val="21"/>
              </w:rPr>
            </w:pPr>
            <w:r>
              <w:rPr>
                <w:rFonts w:hint="eastAsia" w:ascii="宋体" w:hAnsi="宋体"/>
                <w:szCs w:val="21"/>
              </w:rPr>
              <w:t>税   号：</w:t>
            </w:r>
          </w:p>
          <w:p w14:paraId="66E112C2">
            <w:pPr>
              <w:spacing w:line="240" w:lineRule="atLeast"/>
              <w:rPr>
                <w:rFonts w:hint="eastAsia" w:ascii="宋体" w:hAnsi="宋体"/>
                <w:szCs w:val="21"/>
              </w:rPr>
            </w:pPr>
            <w:r>
              <w:rPr>
                <w:rFonts w:hint="eastAsia" w:ascii="宋体" w:hAnsi="宋体"/>
                <w:szCs w:val="21"/>
              </w:rPr>
              <w:t>开户银行：</w:t>
            </w:r>
          </w:p>
          <w:p w14:paraId="4E46C0A5">
            <w:pPr>
              <w:spacing w:line="240" w:lineRule="atLeast"/>
              <w:rPr>
                <w:rFonts w:hint="eastAsia" w:ascii="宋体" w:hAnsi="宋体"/>
                <w:szCs w:val="21"/>
              </w:rPr>
            </w:pPr>
            <w:r>
              <w:rPr>
                <w:rFonts w:hint="eastAsia" w:ascii="宋体" w:hAnsi="宋体"/>
                <w:szCs w:val="21"/>
              </w:rPr>
              <w:t>帐   号：</w:t>
            </w:r>
          </w:p>
          <w:p w14:paraId="32392112">
            <w:pPr>
              <w:pStyle w:val="5"/>
              <w:rPr>
                <w:rFonts w:hint="eastAsia"/>
              </w:rPr>
            </w:pPr>
            <w:r>
              <w:rPr>
                <w:rFonts w:hint="eastAsia" w:ascii="宋体" w:hAnsi="宋体"/>
                <w:szCs w:val="21"/>
              </w:rPr>
              <w:t>开户行号：</w:t>
            </w:r>
          </w:p>
          <w:p w14:paraId="7CFB33FE">
            <w:pPr>
              <w:spacing w:line="240" w:lineRule="atLeast"/>
              <w:rPr>
                <w:rFonts w:ascii="宋体" w:hAnsi="宋体"/>
                <w:szCs w:val="21"/>
              </w:rPr>
            </w:pPr>
            <w:r>
              <w:rPr>
                <w:rFonts w:hint="eastAsia" w:ascii="宋体" w:hAnsi="宋体"/>
                <w:szCs w:val="21"/>
              </w:rPr>
              <w:t>邮   编：</w:t>
            </w:r>
            <w:r>
              <w:rPr>
                <w:rFonts w:hint="eastAsia" w:ascii="宋体" w:hAnsi="宋体" w:cs="宋体"/>
                <w:szCs w:val="21"/>
              </w:rPr>
              <w:t xml:space="preserve"> </w:t>
            </w:r>
          </w:p>
        </w:tc>
        <w:tc>
          <w:tcPr>
            <w:tcW w:w="5007" w:type="dxa"/>
            <w:tcBorders>
              <w:top w:val="single" w:color="auto" w:sz="4" w:space="0"/>
              <w:left w:val="single" w:color="auto" w:sz="4" w:space="0"/>
              <w:bottom w:val="single" w:color="auto" w:sz="4" w:space="0"/>
              <w:right w:val="single" w:color="auto" w:sz="4" w:space="0"/>
            </w:tcBorders>
            <w:noWrap w:val="0"/>
            <w:vAlign w:val="top"/>
          </w:tcPr>
          <w:p w14:paraId="543AE0F5">
            <w:pPr>
              <w:spacing w:line="240" w:lineRule="atLeast"/>
              <w:ind w:left="840" w:hanging="960" w:hangingChars="400"/>
              <w:jc w:val="center"/>
              <w:rPr>
                <w:rFonts w:hint="eastAsia" w:ascii="宋体" w:hAnsi="宋体" w:cs="宋体"/>
                <w:szCs w:val="21"/>
              </w:rPr>
            </w:pPr>
            <w:r>
              <w:rPr>
                <w:rFonts w:hint="eastAsia" w:ascii="宋体" w:hAnsi="宋体" w:cs="宋体"/>
                <w:szCs w:val="21"/>
              </w:rPr>
              <w:t>买受人</w:t>
            </w:r>
          </w:p>
          <w:p w14:paraId="1C400901">
            <w:pPr>
              <w:spacing w:line="240" w:lineRule="atLeast"/>
              <w:ind w:left="840" w:hanging="960" w:hangingChars="400"/>
              <w:rPr>
                <w:rFonts w:hint="eastAsia" w:ascii="宋体" w:hAnsi="宋体" w:cs="宋体"/>
                <w:szCs w:val="21"/>
              </w:rPr>
            </w:pPr>
            <w:r>
              <w:rPr>
                <w:rFonts w:hint="eastAsia" w:ascii="宋体" w:hAnsi="宋体" w:cs="宋体"/>
                <w:szCs w:val="21"/>
              </w:rPr>
              <w:t>单位名称（章）</w:t>
            </w:r>
            <w:r>
              <w:rPr>
                <w:rFonts w:hint="eastAsia" w:ascii="宋体" w:hAnsi="宋体" w:cs="宋体"/>
                <w:bCs/>
                <w:szCs w:val="21"/>
              </w:rPr>
              <w:t>:</w:t>
            </w:r>
            <w:r>
              <w:rPr>
                <w:rFonts w:hint="eastAsia" w:ascii="宋体" w:hAnsi="宋体" w:cs="宋体"/>
                <w:szCs w:val="21"/>
              </w:rPr>
              <w:t xml:space="preserve"> 江苏苏盐井神股份有限公司</w:t>
            </w:r>
          </w:p>
          <w:p w14:paraId="1F7F92B2">
            <w:pPr>
              <w:spacing w:line="240" w:lineRule="atLeast"/>
              <w:rPr>
                <w:rFonts w:hint="eastAsia" w:ascii="宋体" w:hAnsi="宋体" w:cs="宋体"/>
                <w:szCs w:val="21"/>
              </w:rPr>
            </w:pPr>
            <w:r>
              <w:rPr>
                <w:rFonts w:hint="eastAsia" w:ascii="宋体" w:hAnsi="宋体" w:cs="宋体"/>
                <w:szCs w:val="21"/>
              </w:rPr>
              <w:t>单位地址： 淮安市淮安区</w:t>
            </w:r>
            <w:r>
              <w:rPr>
                <w:rFonts w:hint="eastAsia" w:ascii="宋体" w:hAnsi="宋体" w:eastAsia="宋体" w:cs="宋体"/>
                <w:szCs w:val="21"/>
                <w:lang w:eastAsia="zh-CN"/>
              </w:rPr>
              <w:t>海棠大道</w:t>
            </w:r>
            <w:r>
              <w:rPr>
                <w:rFonts w:hint="eastAsia" w:ascii="宋体" w:hAnsi="宋体" w:cs="宋体"/>
                <w:szCs w:val="21"/>
              </w:rPr>
              <w:t>路18号</w:t>
            </w:r>
          </w:p>
          <w:p w14:paraId="40DF49E3">
            <w:pPr>
              <w:spacing w:line="240" w:lineRule="atLeast"/>
              <w:rPr>
                <w:rFonts w:hint="eastAsia" w:ascii="宋体" w:hAnsi="宋体" w:cs="宋体"/>
                <w:szCs w:val="21"/>
              </w:rPr>
            </w:pPr>
            <w:r>
              <w:rPr>
                <w:rFonts w:hint="eastAsia" w:ascii="宋体" w:hAnsi="宋体" w:cs="宋体"/>
                <w:szCs w:val="21"/>
              </w:rPr>
              <w:t>法定代表人：</w:t>
            </w:r>
          </w:p>
          <w:p w14:paraId="4FD0CB5D">
            <w:pPr>
              <w:spacing w:line="240" w:lineRule="atLeast"/>
              <w:rPr>
                <w:rFonts w:hint="eastAsia" w:ascii="宋体" w:hAnsi="宋体" w:cs="宋体"/>
                <w:szCs w:val="21"/>
              </w:rPr>
            </w:pPr>
            <w:r>
              <w:rPr>
                <w:rFonts w:hint="eastAsia" w:ascii="宋体" w:hAnsi="宋体" w:cs="宋体"/>
                <w:szCs w:val="21"/>
              </w:rPr>
              <w:t>委托代理人：</w:t>
            </w:r>
          </w:p>
          <w:p w14:paraId="5C602D63">
            <w:pPr>
              <w:spacing w:line="240" w:lineRule="atLeast"/>
              <w:rPr>
                <w:rFonts w:hint="eastAsia" w:ascii="宋体" w:hAnsi="宋体" w:cs="宋体"/>
                <w:szCs w:val="21"/>
              </w:rPr>
            </w:pPr>
            <w:r>
              <w:rPr>
                <w:rFonts w:hint="eastAsia" w:ascii="宋体" w:hAnsi="宋体" w:cs="宋体"/>
                <w:bCs/>
                <w:szCs w:val="21"/>
              </w:rPr>
              <w:t>签订时间</w:t>
            </w:r>
            <w:r>
              <w:rPr>
                <w:rFonts w:hint="eastAsia" w:ascii="宋体" w:hAnsi="宋体" w:cs="宋体"/>
                <w:szCs w:val="21"/>
              </w:rPr>
              <w:t>：             年  月   日</w:t>
            </w:r>
          </w:p>
          <w:p w14:paraId="28890912">
            <w:pPr>
              <w:spacing w:line="240" w:lineRule="atLeast"/>
              <w:rPr>
                <w:rFonts w:hint="eastAsia" w:ascii="宋体" w:hAnsi="宋体" w:cs="宋体"/>
                <w:szCs w:val="21"/>
              </w:rPr>
            </w:pPr>
            <w:r>
              <w:rPr>
                <w:rFonts w:hint="eastAsia" w:ascii="宋体" w:hAnsi="宋体" w:cs="宋体"/>
                <w:szCs w:val="21"/>
              </w:rPr>
              <w:t>电  话：0517-87037089</w:t>
            </w:r>
          </w:p>
          <w:p w14:paraId="2D477FB7">
            <w:pPr>
              <w:spacing w:line="240" w:lineRule="atLeast"/>
              <w:rPr>
                <w:rFonts w:hint="eastAsia" w:ascii="宋体" w:hAnsi="宋体" w:cs="宋体"/>
                <w:szCs w:val="21"/>
              </w:rPr>
            </w:pPr>
            <w:r>
              <w:rPr>
                <w:rFonts w:hint="eastAsia" w:ascii="宋体" w:hAnsi="宋体" w:cs="宋体"/>
                <w:szCs w:val="21"/>
              </w:rPr>
              <w:t>传  真：0517-87036963</w:t>
            </w:r>
          </w:p>
          <w:p w14:paraId="346736F3">
            <w:pPr>
              <w:spacing w:line="240" w:lineRule="atLeast"/>
              <w:rPr>
                <w:rFonts w:hint="eastAsia" w:ascii="宋体" w:hAnsi="宋体" w:cs="宋体"/>
                <w:szCs w:val="21"/>
              </w:rPr>
            </w:pPr>
            <w:r>
              <w:rPr>
                <w:rFonts w:hint="eastAsia" w:ascii="宋体" w:hAnsi="宋体" w:cs="宋体"/>
                <w:szCs w:val="21"/>
              </w:rPr>
              <w:t>税  号：</w:t>
            </w:r>
            <w:r>
              <w:rPr>
                <w:rFonts w:hint="eastAsia" w:ascii="宋体" w:hAnsi="宋体" w:cs="宋体"/>
                <w:bCs/>
                <w:szCs w:val="21"/>
              </w:rPr>
              <w:t>91320800720586548C</w:t>
            </w:r>
          </w:p>
          <w:p w14:paraId="4E125855">
            <w:pPr>
              <w:spacing w:line="240" w:lineRule="atLeast"/>
              <w:rPr>
                <w:rFonts w:hint="eastAsia" w:ascii="宋体" w:hAnsi="宋体" w:cs="宋体"/>
                <w:bCs/>
                <w:szCs w:val="21"/>
              </w:rPr>
            </w:pPr>
            <w:r>
              <w:rPr>
                <w:rFonts w:hint="eastAsia" w:ascii="宋体" w:hAnsi="宋体" w:cs="宋体"/>
                <w:szCs w:val="21"/>
              </w:rPr>
              <w:t>开户银行：</w:t>
            </w:r>
            <w:r>
              <w:rPr>
                <w:rFonts w:hint="eastAsia" w:ascii="宋体" w:hAnsi="宋体" w:cs="宋体"/>
                <w:bCs/>
                <w:szCs w:val="21"/>
              </w:rPr>
              <w:t>中国农业银行淮安市楚州支行</w:t>
            </w:r>
          </w:p>
          <w:p w14:paraId="203EFD1A">
            <w:pPr>
              <w:spacing w:line="240" w:lineRule="atLeast"/>
              <w:rPr>
                <w:rFonts w:hint="eastAsia" w:ascii="宋体" w:hAnsi="宋体" w:cs="宋体"/>
                <w:szCs w:val="21"/>
              </w:rPr>
            </w:pPr>
            <w:r>
              <w:rPr>
                <w:rFonts w:hint="eastAsia" w:ascii="宋体" w:hAnsi="宋体" w:cs="宋体"/>
                <w:szCs w:val="21"/>
              </w:rPr>
              <w:t>帐  号：10</w:t>
            </w:r>
            <w:r>
              <w:rPr>
                <w:rFonts w:hint="eastAsia" w:ascii="宋体" w:hAnsi="宋体" w:cs="宋体"/>
                <w:bCs/>
                <w:szCs w:val="21"/>
              </w:rPr>
              <w:t>354201040008092</w:t>
            </w:r>
          </w:p>
          <w:p w14:paraId="4509BB9F">
            <w:pPr>
              <w:spacing w:line="240" w:lineRule="atLeast"/>
              <w:rPr>
                <w:rFonts w:ascii="宋体" w:hAnsi="宋体"/>
                <w:szCs w:val="21"/>
              </w:rPr>
            </w:pPr>
            <w:r>
              <w:rPr>
                <w:rFonts w:hint="eastAsia" w:ascii="宋体" w:hAnsi="宋体" w:cs="宋体"/>
                <w:szCs w:val="21"/>
              </w:rPr>
              <w:t>邮政编码: 223200</w:t>
            </w:r>
          </w:p>
        </w:tc>
      </w:tr>
    </w:tbl>
    <w:p w14:paraId="0F10165D">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附件四：技术标准和要求</w:t>
      </w:r>
    </w:p>
    <w:p w14:paraId="4294AB1F">
      <w:pPr>
        <w:pStyle w:val="10"/>
        <w:rPr>
          <w:rFonts w:hint="eastAsia"/>
          <w:lang w:val="zh-CN" w:eastAsia="zh-CN"/>
        </w:rPr>
      </w:pPr>
    </w:p>
    <w:p w14:paraId="4EC91ADD">
      <w:pPr>
        <w:keepNext w:val="0"/>
        <w:keepLines w:val="0"/>
        <w:pageBreakBefore w:val="0"/>
        <w:kinsoku/>
        <w:wordWrap/>
        <w:overflowPunct/>
        <w:topLinePunct w:val="0"/>
        <w:bidi w:val="0"/>
        <w:adjustRightInd w:val="0"/>
        <w:snapToGrid w:val="0"/>
        <w:spacing w:line="300" w:lineRule="auto"/>
        <w:ind w:firstLine="480" w:firstLineChars="200"/>
        <w:textAlignment w:val="auto"/>
        <w:rPr>
          <w:rFonts w:hint="eastAsia" w:ascii="宋体" w:hAnsi="宋体" w:eastAsia="宋体"/>
          <w:color w:val="auto"/>
          <w:sz w:val="24"/>
          <w:szCs w:val="24"/>
          <w:lang w:eastAsia="zh-CN"/>
        </w:rPr>
      </w:pPr>
      <w:r>
        <w:rPr>
          <w:rFonts w:hint="eastAsia" w:ascii="宋体" w:hAnsi="宋体" w:eastAsia="宋体"/>
          <w:color w:val="auto"/>
          <w:sz w:val="24"/>
          <w:szCs w:val="24"/>
          <w:lang w:eastAsia="zh-CN"/>
        </w:rPr>
        <w:t>（一）</w:t>
      </w:r>
      <w:r>
        <w:rPr>
          <w:rFonts w:hint="eastAsia" w:ascii="宋体" w:hAnsi="宋体"/>
          <w:color w:val="auto"/>
          <w:sz w:val="24"/>
          <w:szCs w:val="24"/>
        </w:rPr>
        <w:t>产品质量应</w:t>
      </w:r>
      <w:r>
        <w:rPr>
          <w:rFonts w:hint="eastAsia" w:ascii="宋体" w:hAnsi="宋体"/>
          <w:u w:val="none"/>
          <w:lang w:eastAsia="zh-CN"/>
        </w:rPr>
        <w:t>符合《食品安全国家标准</w:t>
      </w:r>
      <w:r>
        <w:rPr>
          <w:rFonts w:hint="eastAsia" w:ascii="宋体" w:hAnsi="宋体"/>
          <w:u w:val="none"/>
          <w:lang w:val="en-US" w:eastAsia="zh-CN"/>
        </w:rPr>
        <w:t xml:space="preserve"> 食品添加剂聚丙烯酰胺</w:t>
      </w:r>
      <w:r>
        <w:rPr>
          <w:rFonts w:hint="eastAsia" w:ascii="宋体" w:hAnsi="宋体" w:cs="宋体"/>
          <w:kern w:val="0"/>
          <w:sz w:val="21"/>
          <w:szCs w:val="21"/>
          <w:lang w:eastAsia="zh-CN"/>
        </w:rPr>
        <w:t>》</w:t>
      </w:r>
      <w:r>
        <w:rPr>
          <w:rFonts w:hint="eastAsia" w:ascii="宋体" w:hAnsi="宋体" w:cs="宋体"/>
          <w:kern w:val="0"/>
          <w:sz w:val="21"/>
          <w:szCs w:val="21"/>
          <w:lang w:val="en-US" w:eastAsia="zh-CN"/>
        </w:rPr>
        <w:t>（</w:t>
      </w:r>
      <w:r>
        <w:rPr>
          <w:rFonts w:hint="eastAsia" w:ascii="宋体" w:hAnsi="宋体" w:cs="宋体"/>
          <w:kern w:val="0"/>
          <w:sz w:val="21"/>
          <w:szCs w:val="21"/>
        </w:rPr>
        <w:t>GB</w:t>
      </w:r>
      <w:r>
        <w:rPr>
          <w:rFonts w:hint="eastAsia" w:ascii="宋体" w:hAnsi="宋体" w:eastAsia="宋体" w:cs="宋体"/>
          <w:kern w:val="0"/>
          <w:sz w:val="21"/>
          <w:szCs w:val="21"/>
          <w:lang w:val="en-US" w:eastAsia="zh-CN"/>
        </w:rPr>
        <w:t>31629-2014</w:t>
      </w:r>
      <w:r>
        <w:rPr>
          <w:rFonts w:hint="eastAsia" w:ascii="宋体" w:hAnsi="宋体" w:cs="Times New Roman"/>
          <w:szCs w:val="21"/>
          <w:lang w:val="en-US" w:eastAsia="zh-CN"/>
        </w:rPr>
        <w:t>）</w:t>
      </w:r>
    </w:p>
    <w:p w14:paraId="7DBD7CC3">
      <w:pPr>
        <w:pStyle w:val="10"/>
        <w:ind w:left="0" w:leftChars="0" w:firstLine="320" w:firstLineChars="100"/>
        <w:jc w:val="both"/>
        <w:rPr>
          <w:rFonts w:hint="eastAsia" w:ascii="宋体" w:hAnsi="宋体" w:eastAsia="Courier New" w:cs="Courier New"/>
          <w:bCs w:val="0"/>
          <w:color w:val="auto"/>
          <w:sz w:val="24"/>
          <w:szCs w:val="24"/>
          <w:lang w:val="en-US" w:eastAsia="zh-CN" w:bidi="en-US"/>
        </w:rPr>
      </w:pPr>
      <w:r>
        <w:rPr>
          <w:rFonts w:hint="eastAsia"/>
          <w:lang w:val="en-US" w:eastAsia="zh-CN"/>
        </w:rPr>
        <w:t>（二）</w:t>
      </w:r>
      <w:r>
        <w:rPr>
          <w:rFonts w:hint="eastAsia" w:ascii="宋体" w:hAnsi="宋体" w:eastAsia="Courier New" w:cs="Courier New"/>
          <w:bCs w:val="0"/>
          <w:color w:val="auto"/>
          <w:sz w:val="24"/>
          <w:szCs w:val="24"/>
          <w:lang w:val="en-US" w:eastAsia="en-US" w:bidi="en-US"/>
        </w:rPr>
        <w:t>交货期为</w:t>
      </w:r>
      <w:r>
        <w:rPr>
          <w:rFonts w:hint="eastAsia" w:ascii="宋体" w:hAnsi="宋体" w:eastAsia="Courier New" w:cs="Courier New"/>
          <w:bCs w:val="0"/>
          <w:color w:val="auto"/>
          <w:sz w:val="24"/>
          <w:szCs w:val="24"/>
          <w:lang w:val="en-US" w:eastAsia="zh-CN" w:bidi="en-US"/>
        </w:rPr>
        <w:t>交货期：年度框架协议生效后5日内具备交货条件，按买受人通知供货，按实结算。</w:t>
      </w:r>
    </w:p>
    <w:p w14:paraId="217A742E">
      <w:pPr>
        <w:pStyle w:val="5"/>
        <w:rPr>
          <w:rFonts w:hint="eastAsia" w:ascii="宋体" w:hAnsi="宋体" w:eastAsia="宋体" w:cs="宋体"/>
          <w:kern w:val="0"/>
          <w:sz w:val="28"/>
          <w:szCs w:val="28"/>
          <w:shd w:val="clear" w:color="auto" w:fill="D2D2D2"/>
          <w:lang w:val="en-US" w:eastAsia="zh-CN" w:bidi="ar"/>
        </w:rPr>
      </w:pPr>
    </w:p>
    <w:p w14:paraId="3726CBDD">
      <w:pPr>
        <w:rPr>
          <w:rFonts w:hint="eastAsia" w:ascii="宋体" w:hAnsi="宋体" w:eastAsia="宋体" w:cs="宋体"/>
          <w:kern w:val="0"/>
          <w:sz w:val="28"/>
          <w:szCs w:val="28"/>
          <w:shd w:val="clear" w:color="auto" w:fill="D2D2D2"/>
          <w:lang w:val="en-US" w:eastAsia="zh-CN" w:bidi="ar"/>
        </w:rPr>
      </w:pPr>
    </w:p>
    <w:p w14:paraId="2A1C8DDD">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2D565C8E">
      <w:pPr>
        <w:pStyle w:val="5"/>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48DF234E">
      <w:pPr>
        <w:pStyle w:val="5"/>
        <w:numPr>
          <w:ilvl w:val="0"/>
          <w:numId w:val="2"/>
        </w:num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报价单一览表。</w:t>
      </w: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4"/>
        <w:gridCol w:w="2587"/>
        <w:gridCol w:w="600"/>
        <w:gridCol w:w="805"/>
        <w:gridCol w:w="1393"/>
        <w:gridCol w:w="1177"/>
        <w:gridCol w:w="630"/>
      </w:tblGrid>
      <w:tr w14:paraId="38B04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094" w:type="dxa"/>
            <w:noWrap w:val="0"/>
            <w:vAlign w:val="center"/>
          </w:tcPr>
          <w:p w14:paraId="0FB0645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产品名称</w:t>
            </w:r>
          </w:p>
        </w:tc>
        <w:tc>
          <w:tcPr>
            <w:tcW w:w="2587" w:type="dxa"/>
            <w:noWrap w:val="0"/>
            <w:vAlign w:val="center"/>
          </w:tcPr>
          <w:p w14:paraId="7D43D8B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型号规格</w:t>
            </w:r>
          </w:p>
        </w:tc>
        <w:tc>
          <w:tcPr>
            <w:tcW w:w="600" w:type="dxa"/>
            <w:noWrap w:val="0"/>
            <w:vAlign w:val="center"/>
          </w:tcPr>
          <w:p w14:paraId="1F52EED3">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lang w:eastAsia="zh-CN"/>
              </w:rPr>
              <w:t>计量单位</w:t>
            </w:r>
          </w:p>
        </w:tc>
        <w:tc>
          <w:tcPr>
            <w:tcW w:w="805" w:type="dxa"/>
            <w:noWrap w:val="0"/>
            <w:vAlign w:val="center"/>
          </w:tcPr>
          <w:p w14:paraId="5CA95CD0">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lang w:eastAsia="zh-CN"/>
              </w:rPr>
              <w:t>年预估</w:t>
            </w:r>
            <w:r>
              <w:rPr>
                <w:rFonts w:hint="eastAsia" w:ascii="宋体" w:hAnsi="宋体" w:eastAsia="宋体" w:cs="宋体"/>
                <w:b w:val="0"/>
                <w:bCs w:val="0"/>
                <w:color w:val="auto"/>
                <w:sz w:val="18"/>
                <w:szCs w:val="18"/>
                <w:shd w:val="clear" w:color="auto" w:fill="auto"/>
              </w:rPr>
              <w:t>数量</w:t>
            </w:r>
          </w:p>
        </w:tc>
        <w:tc>
          <w:tcPr>
            <w:tcW w:w="1393" w:type="dxa"/>
            <w:noWrap w:val="0"/>
            <w:vAlign w:val="center"/>
          </w:tcPr>
          <w:p w14:paraId="562AA8EA">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 w:val="0"/>
                <w:bCs w:val="0"/>
                <w:color w:val="auto"/>
                <w:sz w:val="18"/>
                <w:szCs w:val="18"/>
                <w:shd w:val="clear" w:color="auto" w:fill="auto"/>
              </w:rPr>
            </w:pPr>
            <w:r>
              <w:rPr>
                <w:rFonts w:hint="eastAsia" w:ascii="宋体" w:hAnsi="宋体" w:eastAsia="宋体" w:cs="宋体"/>
                <w:b w:val="0"/>
                <w:bCs w:val="0"/>
                <w:color w:val="auto"/>
                <w:sz w:val="18"/>
                <w:szCs w:val="18"/>
                <w:shd w:val="clear" w:color="auto" w:fill="auto"/>
              </w:rPr>
              <w:t>单价</w:t>
            </w:r>
          </w:p>
          <w:p w14:paraId="3E57C8E6">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lang w:val="en-US" w:eastAsia="zh-CN"/>
              </w:rPr>
              <w:t>吨</w:t>
            </w:r>
          </w:p>
        </w:tc>
        <w:tc>
          <w:tcPr>
            <w:tcW w:w="1177" w:type="dxa"/>
            <w:noWrap w:val="0"/>
            <w:vAlign w:val="center"/>
          </w:tcPr>
          <w:p w14:paraId="481345E1">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 w:val="0"/>
                <w:bCs w:val="0"/>
                <w:color w:val="auto"/>
                <w:sz w:val="18"/>
                <w:szCs w:val="18"/>
                <w:shd w:val="clear" w:color="auto" w:fill="auto"/>
              </w:rPr>
            </w:pPr>
            <w:r>
              <w:rPr>
                <w:rFonts w:hint="eastAsia" w:ascii="宋体" w:hAnsi="宋体" w:eastAsia="宋体" w:cs="宋体"/>
                <w:b w:val="0"/>
                <w:bCs w:val="0"/>
                <w:color w:val="auto"/>
                <w:sz w:val="18"/>
                <w:szCs w:val="18"/>
                <w:shd w:val="clear" w:color="auto" w:fill="auto"/>
                <w:lang w:eastAsia="zh-CN"/>
              </w:rPr>
              <w:t>年预估</w:t>
            </w:r>
            <w:r>
              <w:rPr>
                <w:rFonts w:hint="eastAsia" w:ascii="宋体" w:hAnsi="宋体" w:eastAsia="宋体" w:cs="宋体"/>
                <w:b w:val="0"/>
                <w:bCs w:val="0"/>
                <w:color w:val="auto"/>
                <w:sz w:val="18"/>
                <w:szCs w:val="18"/>
                <w:shd w:val="clear" w:color="auto" w:fill="auto"/>
              </w:rPr>
              <w:t>金额</w:t>
            </w:r>
          </w:p>
          <w:p w14:paraId="4DB83292">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（元）</w:t>
            </w:r>
          </w:p>
        </w:tc>
        <w:tc>
          <w:tcPr>
            <w:tcW w:w="630" w:type="dxa"/>
            <w:noWrap w:val="0"/>
            <w:vAlign w:val="center"/>
          </w:tcPr>
          <w:p w14:paraId="6D352EB6">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 w:val="0"/>
                <w:bCs w:val="0"/>
                <w:color w:val="auto"/>
                <w:sz w:val="18"/>
                <w:szCs w:val="18"/>
                <w:shd w:val="clear" w:color="auto" w:fill="auto"/>
              </w:rPr>
            </w:pPr>
          </w:p>
        </w:tc>
      </w:tr>
      <w:tr w14:paraId="1AE08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094" w:type="dxa"/>
            <w:noWrap w:val="0"/>
            <w:vAlign w:val="center"/>
          </w:tcPr>
          <w:p w14:paraId="28F6E48A">
            <w:pPr>
              <w:widowControl/>
              <w:jc w:val="center"/>
              <w:textAlignment w:val="center"/>
              <w:rPr>
                <w:rFonts w:hint="eastAsia" w:ascii="楷体_GB2312" w:hAnsi="宋体" w:eastAsia="楷体_GB2312"/>
                <w:color w:val="auto"/>
                <w:sz w:val="21"/>
                <w:szCs w:val="21"/>
                <w:vertAlign w:val="baseline"/>
              </w:rPr>
            </w:pPr>
            <w:r>
              <w:rPr>
                <w:rFonts w:hint="eastAsia" w:ascii="宋体" w:hAnsi="宋体" w:cs="宋体"/>
                <w:szCs w:val="21"/>
                <w:lang w:eastAsia="zh-CN"/>
              </w:rPr>
              <w:t>食品添加剂聚丙烯酰胺</w:t>
            </w:r>
          </w:p>
        </w:tc>
        <w:tc>
          <w:tcPr>
            <w:tcW w:w="2587" w:type="dxa"/>
            <w:shd w:val="clear" w:color="auto" w:fill="auto"/>
            <w:noWrap w:val="0"/>
            <w:vAlign w:val="center"/>
          </w:tcPr>
          <w:p w14:paraId="6705B5F5">
            <w:pPr>
              <w:widowControl/>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u w:val="none"/>
                <w:lang w:eastAsia="zh-CN"/>
              </w:rPr>
              <w:t>符合《食品安全国家标准</w:t>
            </w:r>
            <w:r>
              <w:rPr>
                <w:rFonts w:hint="eastAsia" w:ascii="宋体" w:hAnsi="宋体"/>
                <w:u w:val="none"/>
                <w:lang w:val="en-US" w:eastAsia="zh-CN"/>
              </w:rPr>
              <w:t xml:space="preserve"> 食品添加剂聚丙烯酰胺</w:t>
            </w:r>
            <w:r>
              <w:rPr>
                <w:rFonts w:hint="eastAsia" w:ascii="宋体" w:hAnsi="宋体" w:cs="宋体"/>
                <w:kern w:val="0"/>
                <w:sz w:val="21"/>
                <w:szCs w:val="21"/>
                <w:lang w:eastAsia="zh-CN"/>
              </w:rPr>
              <w:t>》</w:t>
            </w:r>
            <w:r>
              <w:rPr>
                <w:rFonts w:hint="eastAsia" w:ascii="宋体" w:hAnsi="宋体" w:cs="宋体"/>
                <w:kern w:val="0"/>
                <w:sz w:val="21"/>
                <w:szCs w:val="21"/>
                <w:lang w:val="en-US" w:eastAsia="zh-CN"/>
              </w:rPr>
              <w:t>（</w:t>
            </w:r>
            <w:r>
              <w:rPr>
                <w:rFonts w:hint="eastAsia" w:ascii="宋体" w:hAnsi="宋体" w:cs="宋体"/>
                <w:kern w:val="0"/>
                <w:sz w:val="21"/>
                <w:szCs w:val="21"/>
              </w:rPr>
              <w:t>GB</w:t>
            </w:r>
            <w:r>
              <w:rPr>
                <w:rFonts w:hint="eastAsia" w:ascii="宋体" w:hAnsi="宋体" w:eastAsia="宋体" w:cs="宋体"/>
                <w:kern w:val="0"/>
                <w:sz w:val="21"/>
                <w:szCs w:val="21"/>
                <w:lang w:val="en-US" w:eastAsia="zh-CN"/>
              </w:rPr>
              <w:t>31629-2014</w:t>
            </w:r>
            <w:r>
              <w:rPr>
                <w:rFonts w:hint="eastAsia" w:ascii="宋体" w:hAnsi="宋体" w:cs="Times New Roman"/>
                <w:szCs w:val="21"/>
                <w:lang w:val="en-US" w:eastAsia="zh-CN"/>
              </w:rPr>
              <w:t>）</w:t>
            </w:r>
          </w:p>
        </w:tc>
        <w:tc>
          <w:tcPr>
            <w:tcW w:w="600" w:type="dxa"/>
            <w:shd w:val="clear" w:color="auto" w:fill="auto"/>
            <w:noWrap w:val="0"/>
            <w:vAlign w:val="center"/>
          </w:tcPr>
          <w:p w14:paraId="1A0D0A29">
            <w:pPr>
              <w:widowControl/>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bCs/>
                <w:kern w:val="2"/>
                <w:sz w:val="21"/>
                <w:lang w:eastAsia="zh-CN" w:bidi="ar-SA"/>
              </w:rPr>
              <w:t>吨</w:t>
            </w:r>
          </w:p>
        </w:tc>
        <w:tc>
          <w:tcPr>
            <w:tcW w:w="805" w:type="dxa"/>
            <w:noWrap w:val="0"/>
            <w:vAlign w:val="center"/>
          </w:tcPr>
          <w:p w14:paraId="12C1590E">
            <w:pPr>
              <w:widowControl/>
              <w:jc w:val="center"/>
              <w:textAlignment w:val="center"/>
              <w:rPr>
                <w:rFonts w:hint="default" w:ascii="楷体_GB2312" w:hAnsi="宋体" w:eastAsia="楷体_GB2312" w:cs="Courier New"/>
                <w:color w:val="auto"/>
                <w:sz w:val="18"/>
                <w:szCs w:val="18"/>
                <w:vertAlign w:val="baseline"/>
                <w:lang w:val="en-US" w:eastAsia="zh-CN" w:bidi="en-US"/>
              </w:rPr>
            </w:pPr>
            <w:r>
              <w:rPr>
                <w:rFonts w:hint="eastAsia" w:ascii="楷体_GB2312" w:hAnsi="宋体" w:eastAsia="楷体_GB2312" w:cs="Courier New"/>
                <w:color w:val="auto"/>
                <w:sz w:val="18"/>
                <w:szCs w:val="18"/>
                <w:vertAlign w:val="baseline"/>
                <w:lang w:val="en-US" w:eastAsia="zh-CN" w:bidi="en-US"/>
              </w:rPr>
              <w:t>12</w:t>
            </w:r>
          </w:p>
        </w:tc>
        <w:tc>
          <w:tcPr>
            <w:tcW w:w="1393" w:type="dxa"/>
            <w:noWrap w:val="0"/>
            <w:vAlign w:val="center"/>
          </w:tcPr>
          <w:p w14:paraId="32EB6C1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01E316D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5691879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18"/>
                <w:szCs w:val="18"/>
                <w:u w:val="none"/>
                <w:lang w:val="en-US" w:eastAsia="zh-CN" w:bidi="ar"/>
              </w:rPr>
            </w:pPr>
          </w:p>
        </w:tc>
      </w:tr>
      <w:tr w14:paraId="1D009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6086" w:type="dxa"/>
            <w:gridSpan w:val="4"/>
            <w:noWrap w:val="0"/>
            <w:vAlign w:val="center"/>
          </w:tcPr>
          <w:p w14:paraId="37855F2D">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left"/>
              <w:outlineLvl w:val="9"/>
              <w:rPr>
                <w:rFonts w:hint="eastAsia"/>
                <w:color w:val="auto"/>
                <w:kern w:val="2"/>
                <w:sz w:val="18"/>
                <w:szCs w:val="18"/>
                <w:shd w:val="clear" w:color="auto" w:fill="auto"/>
                <w:lang w:val="en-US" w:eastAsia="zh-CN" w:bidi="ar-SA"/>
              </w:rPr>
            </w:pPr>
            <w:r>
              <w:rPr>
                <w:rFonts w:hint="eastAsia" w:ascii="宋体" w:hAnsi="宋体" w:eastAsia="宋体" w:cs="宋体"/>
                <w:i w:val="0"/>
                <w:color w:val="auto"/>
                <w:kern w:val="0"/>
                <w:sz w:val="18"/>
                <w:szCs w:val="18"/>
                <w:u w:val="none"/>
                <w:shd w:val="clear" w:color="auto" w:fill="auto"/>
                <w:lang w:val="en-US" w:eastAsia="zh-CN" w:bidi="ar"/>
              </w:rPr>
              <w:t>年度框架协议</w:t>
            </w:r>
            <w:r>
              <w:rPr>
                <w:rFonts w:hint="eastAsia" w:ascii="宋体" w:hAnsi="宋体"/>
                <w:color w:val="auto"/>
                <w:sz w:val="18"/>
                <w:szCs w:val="18"/>
                <w:shd w:val="clear" w:color="auto" w:fill="auto"/>
                <w:lang w:eastAsia="zh-CN"/>
              </w:rPr>
              <w:t>预估金额：按实结算，单价不变。</w:t>
            </w:r>
          </w:p>
        </w:tc>
        <w:tc>
          <w:tcPr>
            <w:tcW w:w="3200" w:type="dxa"/>
            <w:gridSpan w:val="3"/>
            <w:noWrap w:val="0"/>
            <w:vAlign w:val="center"/>
          </w:tcPr>
          <w:p w14:paraId="6FE4A176">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right="0" w:rightChars="0" w:firstLine="0" w:firstLineChars="0"/>
              <w:jc w:val="center"/>
              <w:textAlignment w:val="center"/>
              <w:outlineLvl w:val="9"/>
              <w:rPr>
                <w:rFonts w:hint="eastAsia" w:ascii="宋体" w:hAnsi="宋体" w:eastAsia="宋体" w:cs="宋体"/>
                <w:i w:val="0"/>
                <w:color w:val="auto"/>
                <w:kern w:val="0"/>
                <w:sz w:val="18"/>
                <w:szCs w:val="18"/>
                <w:u w:val="none"/>
                <w:shd w:val="clear" w:color="auto" w:fill="auto"/>
                <w:lang w:val="en-US" w:eastAsia="zh-CN" w:bidi="ar"/>
              </w:rPr>
            </w:pPr>
            <w:r>
              <w:rPr>
                <w:rFonts w:hint="eastAsia" w:ascii="宋体" w:hAnsi="宋体"/>
                <w:szCs w:val="21"/>
                <w:lang w:eastAsia="zh-CN"/>
              </w:rPr>
              <w:t>交货期：年度框架协议生效后5日内具备交货条件，按买受人通知供货，按实结算</w:t>
            </w:r>
          </w:p>
        </w:tc>
      </w:tr>
    </w:tbl>
    <w:p w14:paraId="24B1FF55">
      <w:pPr>
        <w:pStyle w:val="5"/>
        <w:numPr>
          <w:ilvl w:val="0"/>
          <w:numId w:val="0"/>
        </w:numPr>
        <w:rPr>
          <w:rFonts w:hint="eastAsia" w:ascii="宋体" w:hAnsi="宋体" w:cs="宋体"/>
          <w:color w:val="auto"/>
          <w:sz w:val="28"/>
          <w:szCs w:val="28"/>
          <w:highlight w:val="none"/>
          <w:lang w:val="en-US" w:eastAsia="zh-CN"/>
        </w:rPr>
      </w:pPr>
    </w:p>
    <w:p w14:paraId="44137039">
      <w:pPr>
        <w:pStyle w:val="5"/>
        <w:keepNext w:val="0"/>
        <w:keepLines w:val="0"/>
        <w:pageBreakBefore w:val="0"/>
        <w:widowControl w:val="0"/>
        <w:numPr>
          <w:ilvl w:val="0"/>
          <w:numId w:val="3"/>
        </w:numPr>
        <w:kinsoku/>
        <w:wordWrap/>
        <w:overflowPunct/>
        <w:topLinePunct w:val="0"/>
        <w:autoSpaceDE/>
        <w:autoSpaceDN/>
        <w:bidi w:val="0"/>
        <w:adjustRightInd/>
        <w:snapToGrid/>
        <w:spacing w:line="320" w:lineRule="exact"/>
        <w:textAlignment w:va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按照附件二“资格审查的合格条件”内容依次提供相关材料。</w:t>
      </w:r>
    </w:p>
    <w:p w14:paraId="6B4788D2">
      <w:pPr>
        <w:rPr>
          <w:rFonts w:hint="eastAsia"/>
          <w:lang w:val="en-US" w:eastAsia="zh-CN"/>
        </w:rPr>
      </w:pPr>
      <w:r>
        <w:rPr>
          <w:rFonts w:hint="eastAsia"/>
          <w:lang w:val="en-US" w:eastAsia="zh-CN"/>
        </w:rPr>
        <w:t xml:space="preserve"> </w:t>
      </w:r>
    </w:p>
    <w:p w14:paraId="24FECE32">
      <w:pPr>
        <w:rPr>
          <w:rFonts w:hint="eastAsia"/>
          <w:lang w:val="en-US" w:eastAsia="zh-CN"/>
        </w:rPr>
      </w:pPr>
    </w:p>
    <w:p w14:paraId="688C9B8B">
      <w:pPr>
        <w:rPr>
          <w:rFonts w:hint="default"/>
          <w:lang w:val="en-US" w:eastAsia="zh-CN"/>
        </w:rPr>
      </w:pPr>
    </w:p>
    <w:p w14:paraId="490EE3D6">
      <w:pPr>
        <w:pStyle w:val="5"/>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如有偏离，需提供下表。如无偏离，也需注明</w:t>
      </w:r>
      <w:r>
        <w:rPr>
          <w:rFonts w:hint="eastAsia" w:ascii="宋体" w:hAnsi="宋体" w:eastAsia="宋体" w:cs="宋体"/>
          <w:color w:val="auto"/>
          <w:sz w:val="28"/>
          <w:szCs w:val="28"/>
          <w:highlight w:val="none"/>
          <w:lang w:val="en-US" w:eastAsia="zh-CN"/>
        </w:rPr>
        <w:t>）</w:t>
      </w:r>
    </w:p>
    <w:p w14:paraId="209799C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4B5907D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1"/>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05320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0E3BB64A">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1264238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3E74D75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1A94692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07D44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292F5DA5">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59EC43F4">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799AE36C">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45B77C01">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7C029F0A">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164F1E3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768B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1E32D6B5">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6F60453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05565AD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756F938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5ED6DD8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47C4955B">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3CC8D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16D4F8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F688B5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145A38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B45CF1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C1B437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3DC274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1652E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1BFEACA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69ADD0D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1A34D7D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264DA0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5AF735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572CD5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E595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B7E1EB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F8015F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7065A5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CF27FF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CB687C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2852B6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E64A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A8211C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3712DF4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9C9083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44DB449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5EACC56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2075A9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28A41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6C6145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CB1315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5596ACF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CA485F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293C889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136D36D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4921593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1EADF4B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017EE49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5E0915D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59759F7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226E1FBB">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43E26F0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40C794F7">
      <w:pPr>
        <w:pStyle w:val="5"/>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0700BB4F">
      <w:pPr>
        <w:pStyle w:val="5"/>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53658D48">
      <w:pPr>
        <w:keepNext w:val="0"/>
        <w:keepLines w:val="0"/>
        <w:pageBreakBefore w:val="0"/>
        <w:kinsoku/>
        <w:wordWrap/>
        <w:overflowPunct/>
        <w:topLinePunct w:val="0"/>
        <w:bidi w:val="0"/>
        <w:adjustRightInd w:val="0"/>
        <w:snapToGrid w:val="0"/>
        <w:spacing w:line="300" w:lineRule="auto"/>
        <w:textAlignment w:val="auto"/>
        <w:rPr>
          <w:rFonts w:hint="eastAsia" w:ascii="Times New Roman" w:hAnsi="Times New Roman" w:eastAsia="宋体" w:cs="仿宋"/>
          <w:b w:val="0"/>
          <w:strike/>
          <w:dstrike w:val="0"/>
          <w:color w:val="auto"/>
          <w:sz w:val="24"/>
          <w:highlight w:val="none"/>
        </w:rPr>
      </w:pPr>
    </w:p>
    <w:sectPr>
      <w:footerReference r:id="rId5" w:type="default"/>
      <w:pgSz w:w="11906" w:h="16838"/>
      <w:pgMar w:top="1440" w:right="1800" w:bottom="1440" w:left="1800" w:header="2101" w:footer="3"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AF743">
    <w:pPr>
      <w:spacing w:line="1" w:lineRule="exac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41F2D8">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B41F2D8">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1326515</wp:posOffset>
              </wp:positionH>
              <wp:positionV relativeFrom="page">
                <wp:posOffset>15960725</wp:posOffset>
              </wp:positionV>
              <wp:extent cx="9159240" cy="0"/>
              <wp:effectExtent l="0" t="0" r="0" b="0"/>
              <wp:wrapNone/>
              <wp:docPr id="7" name="Shape 7"/>
              <wp:cNvGraphicFramePr/>
              <a:graphic xmlns:a="http://schemas.openxmlformats.org/drawingml/2006/main">
                <a:graphicData uri="http://schemas.microsoft.com/office/word/2010/wordprocessingShape">
                  <wps:wsp>
                    <wps:cNvCnPr/>
                    <wps:spPr>
                      <a:xfrm>
                        <a:off x="0" y="0"/>
                        <a:ext cx="9159240" cy="0"/>
                      </a:xfrm>
                      <a:prstGeom prst="straightConnector1">
                        <a:avLst/>
                      </a:prstGeom>
                      <a:ln w="12700">
                        <a:solidFill>
                          <a:srgbClr val="FFFFFF"/>
                        </a:solidFill>
                      </a:ln>
                      <a:effectLst/>
                    </wps:spPr>
                    <wps:bodyPr/>
                  </wps:wsp>
                </a:graphicData>
              </a:graphic>
            </wp:anchor>
          </w:drawing>
        </mc:Choice>
        <mc:Fallback>
          <w:pict>
            <v:shape id="Shape 7" o:spid="_x0000_s1026" o:spt="32" type="#_x0000_t32" style="position:absolute;left:0pt;margin-left:104.45pt;margin-top:1256.75pt;height:0pt;width:721.2pt;mso-position-horizontal-relative:page;mso-position-vertical-relative:page;z-index:-251657216;mso-width-relative:page;mso-height-relative:page;" filled="f" stroked="t" coordsize="21600,21600" o:gfxdata="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Hx6MAdgAAAAO&#10;AQAADwAAAAAAAAABACAAAAAiAAAAZHJzL2Rvd25yZXYueG1sUEsBAhQAFAAAAAgAh07iQH1jTuWq&#10;AQAAaAMAAA4AAAAAAAAAAQAgAAAAJwEAAGRycy9lMm9Eb2MueG1sUEsFBgAAAAAGAAYAWQEAAEMF&#10;AAAAAA==&#10;">
              <v:fill on="f" focussize="0,0"/>
              <v:stroke weight="1pt" color="#FFFFFF" joinstyle="round"/>
              <v:imagedata o:title=""/>
              <o:lock v:ext="edit" aspectratio="f"/>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pPr>
        <w:ind w:left="60"/>
      </w:pPr>
    </w:lvl>
  </w:abstractNum>
  <w:abstractNum w:abstractNumId="1">
    <w:nsid w:val="05BA264B"/>
    <w:multiLevelType w:val="singleLevel"/>
    <w:tmpl w:val="05BA264B"/>
    <w:lvl w:ilvl="0" w:tentative="0">
      <w:start w:val="1"/>
      <w:numFmt w:val="decimal"/>
      <w:suff w:val="nothing"/>
      <w:lvlText w:val="%1、"/>
      <w:lvlJc w:val="left"/>
    </w:lvl>
  </w:abstractNum>
  <w:abstractNum w:abstractNumId="2">
    <w:nsid w:val="2D7B9F05"/>
    <w:multiLevelType w:val="singleLevel"/>
    <w:tmpl w:val="2D7B9F05"/>
    <w:lvl w:ilvl="0" w:tentative="0">
      <w:start w:val="2"/>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81"/>
  <w:drawingGridVerticalSpacing w:val="181"/>
  <w:displayHorizontalDrawingGridEvery w:val="1"/>
  <w:displayVerticalDrawingGridEvery w:val="1"/>
  <w:noPunctuationKerning w:val="1"/>
  <w:characterSpacingControl w:val="compressPunctuation"/>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NkNjViOGRiMmNjYmMwODk5YmUwMWJkOGRkZjQwZjMifQ=="/>
  </w:docVars>
  <w:rsids>
    <w:rsidRoot w:val="00704181"/>
    <w:rsid w:val="00393C70"/>
    <w:rsid w:val="004E3AF4"/>
    <w:rsid w:val="004E762A"/>
    <w:rsid w:val="0062717D"/>
    <w:rsid w:val="00646760"/>
    <w:rsid w:val="00704181"/>
    <w:rsid w:val="008E24AF"/>
    <w:rsid w:val="009A49B7"/>
    <w:rsid w:val="00A324A4"/>
    <w:rsid w:val="00A5129B"/>
    <w:rsid w:val="00A80F72"/>
    <w:rsid w:val="00AA4755"/>
    <w:rsid w:val="00AB6BDB"/>
    <w:rsid w:val="00AE1E23"/>
    <w:rsid w:val="00CD3046"/>
    <w:rsid w:val="00DC6100"/>
    <w:rsid w:val="00F12AB4"/>
    <w:rsid w:val="00FD5E9C"/>
    <w:rsid w:val="00FD69B0"/>
    <w:rsid w:val="020872F6"/>
    <w:rsid w:val="02341D4F"/>
    <w:rsid w:val="02342D19"/>
    <w:rsid w:val="0290156C"/>
    <w:rsid w:val="02F1659A"/>
    <w:rsid w:val="02FE46FD"/>
    <w:rsid w:val="034013CC"/>
    <w:rsid w:val="036140B2"/>
    <w:rsid w:val="036B548A"/>
    <w:rsid w:val="038D0B9C"/>
    <w:rsid w:val="03F95EB9"/>
    <w:rsid w:val="043A35D9"/>
    <w:rsid w:val="0460484B"/>
    <w:rsid w:val="04E80E37"/>
    <w:rsid w:val="05B166BA"/>
    <w:rsid w:val="05F23C34"/>
    <w:rsid w:val="06055380"/>
    <w:rsid w:val="077A7310"/>
    <w:rsid w:val="078F1219"/>
    <w:rsid w:val="08270A02"/>
    <w:rsid w:val="08286EC3"/>
    <w:rsid w:val="08C23B9D"/>
    <w:rsid w:val="09D74EF0"/>
    <w:rsid w:val="09FE56FB"/>
    <w:rsid w:val="0A627820"/>
    <w:rsid w:val="0A8C4733"/>
    <w:rsid w:val="0AAE1FBB"/>
    <w:rsid w:val="0AB832C9"/>
    <w:rsid w:val="0AC96B1B"/>
    <w:rsid w:val="0BB14E8A"/>
    <w:rsid w:val="0BC63DC8"/>
    <w:rsid w:val="0BC96FF0"/>
    <w:rsid w:val="0C161103"/>
    <w:rsid w:val="0CF616ED"/>
    <w:rsid w:val="0CFD1B43"/>
    <w:rsid w:val="0D193B67"/>
    <w:rsid w:val="0D1D5845"/>
    <w:rsid w:val="0DBC68F4"/>
    <w:rsid w:val="0E2D58D6"/>
    <w:rsid w:val="0EA56697"/>
    <w:rsid w:val="0ED71A24"/>
    <w:rsid w:val="0F3B1FB3"/>
    <w:rsid w:val="107C2984"/>
    <w:rsid w:val="112266AA"/>
    <w:rsid w:val="11435475"/>
    <w:rsid w:val="114C0F78"/>
    <w:rsid w:val="116A3C16"/>
    <w:rsid w:val="11824172"/>
    <w:rsid w:val="118260F5"/>
    <w:rsid w:val="11C158D4"/>
    <w:rsid w:val="11E15F1E"/>
    <w:rsid w:val="13197422"/>
    <w:rsid w:val="131C1728"/>
    <w:rsid w:val="136D5135"/>
    <w:rsid w:val="13796BB9"/>
    <w:rsid w:val="138F70B9"/>
    <w:rsid w:val="144D4412"/>
    <w:rsid w:val="147D0F94"/>
    <w:rsid w:val="149E0C82"/>
    <w:rsid w:val="1541783F"/>
    <w:rsid w:val="1586562A"/>
    <w:rsid w:val="159F16E0"/>
    <w:rsid w:val="15F5388C"/>
    <w:rsid w:val="168427D7"/>
    <w:rsid w:val="168D57EA"/>
    <w:rsid w:val="178564C1"/>
    <w:rsid w:val="17D7347F"/>
    <w:rsid w:val="193D5F48"/>
    <w:rsid w:val="197D4EB5"/>
    <w:rsid w:val="19DB01D6"/>
    <w:rsid w:val="1A1D0AA2"/>
    <w:rsid w:val="1A544519"/>
    <w:rsid w:val="1A8B1C1E"/>
    <w:rsid w:val="1AF23BA3"/>
    <w:rsid w:val="1BBB7DED"/>
    <w:rsid w:val="1BE065B1"/>
    <w:rsid w:val="1C073948"/>
    <w:rsid w:val="1DC21F0D"/>
    <w:rsid w:val="1E3B205F"/>
    <w:rsid w:val="1F0246CA"/>
    <w:rsid w:val="1F1B6B16"/>
    <w:rsid w:val="201120ED"/>
    <w:rsid w:val="202E2831"/>
    <w:rsid w:val="20512756"/>
    <w:rsid w:val="205F43D5"/>
    <w:rsid w:val="20671E2F"/>
    <w:rsid w:val="2111562F"/>
    <w:rsid w:val="21160C85"/>
    <w:rsid w:val="21732611"/>
    <w:rsid w:val="21BF2924"/>
    <w:rsid w:val="21FB4B8D"/>
    <w:rsid w:val="22001C9F"/>
    <w:rsid w:val="227458E5"/>
    <w:rsid w:val="22874FD7"/>
    <w:rsid w:val="23093E04"/>
    <w:rsid w:val="233B677F"/>
    <w:rsid w:val="23DC7D02"/>
    <w:rsid w:val="254B4C7F"/>
    <w:rsid w:val="258174DE"/>
    <w:rsid w:val="26245B80"/>
    <w:rsid w:val="27644345"/>
    <w:rsid w:val="27DA0D95"/>
    <w:rsid w:val="2847586D"/>
    <w:rsid w:val="289F76D8"/>
    <w:rsid w:val="28A5619C"/>
    <w:rsid w:val="29577FEA"/>
    <w:rsid w:val="29787C34"/>
    <w:rsid w:val="2A7C211D"/>
    <w:rsid w:val="2A7E571E"/>
    <w:rsid w:val="2B255B99"/>
    <w:rsid w:val="2B472E5D"/>
    <w:rsid w:val="2B625F69"/>
    <w:rsid w:val="2BA20664"/>
    <w:rsid w:val="2CB272BC"/>
    <w:rsid w:val="2CEE58F8"/>
    <w:rsid w:val="2CFE16B4"/>
    <w:rsid w:val="2E0065CE"/>
    <w:rsid w:val="2E2A546B"/>
    <w:rsid w:val="2E8F57E7"/>
    <w:rsid w:val="2F261EE0"/>
    <w:rsid w:val="2F961DA5"/>
    <w:rsid w:val="2FC71A0B"/>
    <w:rsid w:val="30907B46"/>
    <w:rsid w:val="30BC030B"/>
    <w:rsid w:val="30EB314D"/>
    <w:rsid w:val="3162407B"/>
    <w:rsid w:val="31AD298A"/>
    <w:rsid w:val="32823077"/>
    <w:rsid w:val="3413062E"/>
    <w:rsid w:val="34337579"/>
    <w:rsid w:val="34AC2E87"/>
    <w:rsid w:val="35850DAC"/>
    <w:rsid w:val="35B244CD"/>
    <w:rsid w:val="35DB3598"/>
    <w:rsid w:val="35FB5B96"/>
    <w:rsid w:val="3603172A"/>
    <w:rsid w:val="36521527"/>
    <w:rsid w:val="36812F6C"/>
    <w:rsid w:val="36C0319B"/>
    <w:rsid w:val="36C52B6F"/>
    <w:rsid w:val="36CC7A92"/>
    <w:rsid w:val="36E502F5"/>
    <w:rsid w:val="378E5972"/>
    <w:rsid w:val="37BA4876"/>
    <w:rsid w:val="38567939"/>
    <w:rsid w:val="38A65E3F"/>
    <w:rsid w:val="38BC07E5"/>
    <w:rsid w:val="394E5C16"/>
    <w:rsid w:val="395F197E"/>
    <w:rsid w:val="39F15C5C"/>
    <w:rsid w:val="39F251C4"/>
    <w:rsid w:val="3B30646C"/>
    <w:rsid w:val="3BFD4725"/>
    <w:rsid w:val="3C0B29DB"/>
    <w:rsid w:val="3CCD6B5A"/>
    <w:rsid w:val="3CF512D2"/>
    <w:rsid w:val="3D5F13DF"/>
    <w:rsid w:val="3DD21B61"/>
    <w:rsid w:val="3F180A9E"/>
    <w:rsid w:val="3F685370"/>
    <w:rsid w:val="3FA2200D"/>
    <w:rsid w:val="400F4367"/>
    <w:rsid w:val="404633B1"/>
    <w:rsid w:val="406E2578"/>
    <w:rsid w:val="416C40CA"/>
    <w:rsid w:val="42137709"/>
    <w:rsid w:val="42415ACC"/>
    <w:rsid w:val="42E264E1"/>
    <w:rsid w:val="433B01F8"/>
    <w:rsid w:val="435821D3"/>
    <w:rsid w:val="43EF14E4"/>
    <w:rsid w:val="43F13A06"/>
    <w:rsid w:val="440664FF"/>
    <w:rsid w:val="448020A4"/>
    <w:rsid w:val="44B32ACA"/>
    <w:rsid w:val="45A623F4"/>
    <w:rsid w:val="46624EB1"/>
    <w:rsid w:val="46882C78"/>
    <w:rsid w:val="46A166F5"/>
    <w:rsid w:val="4780571F"/>
    <w:rsid w:val="478179C4"/>
    <w:rsid w:val="47954F2D"/>
    <w:rsid w:val="47E53213"/>
    <w:rsid w:val="4894029D"/>
    <w:rsid w:val="4910143B"/>
    <w:rsid w:val="492B66FF"/>
    <w:rsid w:val="492F7DC5"/>
    <w:rsid w:val="49C5081B"/>
    <w:rsid w:val="49F308C8"/>
    <w:rsid w:val="4A1E7312"/>
    <w:rsid w:val="4A91474C"/>
    <w:rsid w:val="4ACA74F5"/>
    <w:rsid w:val="4B256C85"/>
    <w:rsid w:val="4B5E0F27"/>
    <w:rsid w:val="4BAF6A89"/>
    <w:rsid w:val="4BC4555C"/>
    <w:rsid w:val="4C261064"/>
    <w:rsid w:val="4C58504E"/>
    <w:rsid w:val="4C671AC2"/>
    <w:rsid w:val="4C7C4D0A"/>
    <w:rsid w:val="4CE70AA9"/>
    <w:rsid w:val="4D28565B"/>
    <w:rsid w:val="4D331F40"/>
    <w:rsid w:val="4D986247"/>
    <w:rsid w:val="4DB92E7D"/>
    <w:rsid w:val="4DE10EE7"/>
    <w:rsid w:val="4F1B15A1"/>
    <w:rsid w:val="4F202E1E"/>
    <w:rsid w:val="50393111"/>
    <w:rsid w:val="50DC644B"/>
    <w:rsid w:val="51821157"/>
    <w:rsid w:val="519F32A5"/>
    <w:rsid w:val="51AD19CD"/>
    <w:rsid w:val="51CF5E90"/>
    <w:rsid w:val="51D60CA0"/>
    <w:rsid w:val="51F6333F"/>
    <w:rsid w:val="52440118"/>
    <w:rsid w:val="526627C0"/>
    <w:rsid w:val="528B02F7"/>
    <w:rsid w:val="52EB476D"/>
    <w:rsid w:val="53136F19"/>
    <w:rsid w:val="537F6AEF"/>
    <w:rsid w:val="53A95445"/>
    <w:rsid w:val="53D47342"/>
    <w:rsid w:val="551A02B3"/>
    <w:rsid w:val="5532531A"/>
    <w:rsid w:val="55654C60"/>
    <w:rsid w:val="56BF2485"/>
    <w:rsid w:val="56DC32D8"/>
    <w:rsid w:val="570602FC"/>
    <w:rsid w:val="575079FD"/>
    <w:rsid w:val="57A86109"/>
    <w:rsid w:val="587747A2"/>
    <w:rsid w:val="58E8262F"/>
    <w:rsid w:val="58F97F75"/>
    <w:rsid w:val="59066577"/>
    <w:rsid w:val="59745D22"/>
    <w:rsid w:val="59D708D6"/>
    <w:rsid w:val="5A2A5B43"/>
    <w:rsid w:val="5A783688"/>
    <w:rsid w:val="5A844D7C"/>
    <w:rsid w:val="5ADD0F51"/>
    <w:rsid w:val="5BA54260"/>
    <w:rsid w:val="5BE50B09"/>
    <w:rsid w:val="5CAA295A"/>
    <w:rsid w:val="5CD728E8"/>
    <w:rsid w:val="5D0F4F0D"/>
    <w:rsid w:val="5D3A089A"/>
    <w:rsid w:val="5D4B6E32"/>
    <w:rsid w:val="5D953EAC"/>
    <w:rsid w:val="5DD5410B"/>
    <w:rsid w:val="5DDC4238"/>
    <w:rsid w:val="5E142DF8"/>
    <w:rsid w:val="5EB01DAF"/>
    <w:rsid w:val="5F8A307C"/>
    <w:rsid w:val="5FA35B93"/>
    <w:rsid w:val="5FCE4357"/>
    <w:rsid w:val="60754D79"/>
    <w:rsid w:val="6176333E"/>
    <w:rsid w:val="6189120D"/>
    <w:rsid w:val="632717A7"/>
    <w:rsid w:val="633670D6"/>
    <w:rsid w:val="63FC0E86"/>
    <w:rsid w:val="63FF0976"/>
    <w:rsid w:val="641A0C94"/>
    <w:rsid w:val="641A41D7"/>
    <w:rsid w:val="650224CC"/>
    <w:rsid w:val="65153546"/>
    <w:rsid w:val="65505775"/>
    <w:rsid w:val="65C532A5"/>
    <w:rsid w:val="668100D3"/>
    <w:rsid w:val="66A86DB8"/>
    <w:rsid w:val="670B08A2"/>
    <w:rsid w:val="672C6FCF"/>
    <w:rsid w:val="67845532"/>
    <w:rsid w:val="678B7D40"/>
    <w:rsid w:val="67C2487B"/>
    <w:rsid w:val="690374E6"/>
    <w:rsid w:val="69133361"/>
    <w:rsid w:val="691F7403"/>
    <w:rsid w:val="69230D68"/>
    <w:rsid w:val="69801F8B"/>
    <w:rsid w:val="6A3D5D54"/>
    <w:rsid w:val="6A6B4794"/>
    <w:rsid w:val="6AEE6FA8"/>
    <w:rsid w:val="6B152378"/>
    <w:rsid w:val="6B206A43"/>
    <w:rsid w:val="6B432FCA"/>
    <w:rsid w:val="6C0772D5"/>
    <w:rsid w:val="6C5A7A8C"/>
    <w:rsid w:val="6CC03207"/>
    <w:rsid w:val="6CC17913"/>
    <w:rsid w:val="6D30722A"/>
    <w:rsid w:val="6E2274ED"/>
    <w:rsid w:val="6E3F02ED"/>
    <w:rsid w:val="6E8C57AB"/>
    <w:rsid w:val="6F052725"/>
    <w:rsid w:val="6F8A19AF"/>
    <w:rsid w:val="700778E4"/>
    <w:rsid w:val="709E79A0"/>
    <w:rsid w:val="70D61341"/>
    <w:rsid w:val="715C7408"/>
    <w:rsid w:val="716C0741"/>
    <w:rsid w:val="719E0AED"/>
    <w:rsid w:val="719F298F"/>
    <w:rsid w:val="72D628A4"/>
    <w:rsid w:val="73155824"/>
    <w:rsid w:val="7327656B"/>
    <w:rsid w:val="732D2875"/>
    <w:rsid w:val="734828CB"/>
    <w:rsid w:val="73AF18C1"/>
    <w:rsid w:val="74164B51"/>
    <w:rsid w:val="743B3885"/>
    <w:rsid w:val="74CC649D"/>
    <w:rsid w:val="74D876B4"/>
    <w:rsid w:val="74EC2728"/>
    <w:rsid w:val="7510653F"/>
    <w:rsid w:val="754F6E06"/>
    <w:rsid w:val="757271B6"/>
    <w:rsid w:val="75732BB9"/>
    <w:rsid w:val="757A7E5C"/>
    <w:rsid w:val="75A74D0B"/>
    <w:rsid w:val="75AC543E"/>
    <w:rsid w:val="75D2506C"/>
    <w:rsid w:val="75DF6AA1"/>
    <w:rsid w:val="75E505B4"/>
    <w:rsid w:val="75E64739"/>
    <w:rsid w:val="76027CFE"/>
    <w:rsid w:val="76984A3E"/>
    <w:rsid w:val="771F76AA"/>
    <w:rsid w:val="778868D4"/>
    <w:rsid w:val="77F44883"/>
    <w:rsid w:val="78554193"/>
    <w:rsid w:val="78591FAB"/>
    <w:rsid w:val="78650950"/>
    <w:rsid w:val="787F6B35"/>
    <w:rsid w:val="789763D3"/>
    <w:rsid w:val="79167C9F"/>
    <w:rsid w:val="79801195"/>
    <w:rsid w:val="7A58398A"/>
    <w:rsid w:val="7A8E5A05"/>
    <w:rsid w:val="7ADB75EF"/>
    <w:rsid w:val="7B8120FB"/>
    <w:rsid w:val="7BCA1607"/>
    <w:rsid w:val="7C02106F"/>
    <w:rsid w:val="7CB509AF"/>
    <w:rsid w:val="7D0C6567"/>
    <w:rsid w:val="7DB050CD"/>
    <w:rsid w:val="7DB6620F"/>
    <w:rsid w:val="7E8B5C91"/>
    <w:rsid w:val="7EA411AC"/>
    <w:rsid w:val="7EEF5417"/>
    <w:rsid w:val="7F030EC3"/>
    <w:rsid w:val="7F046E55"/>
    <w:rsid w:val="7FBB33A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ourier New" w:hAnsi="Courier New" w:eastAsia="Courier New" w:cs="Courier New"/>
      <w:color w:val="000000"/>
      <w:sz w:val="24"/>
      <w:szCs w:val="24"/>
      <w:lang w:val="en-US" w:eastAsia="en-US" w:bidi="en-US"/>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unhideWhenUsed/>
    <w:qFormat/>
    <w:uiPriority w:val="9"/>
    <w:pPr>
      <w:keepNext/>
      <w:keepLines/>
      <w:spacing w:before="200"/>
      <w:jc w:val="left"/>
      <w:outlineLvl w:val="1"/>
    </w:pPr>
    <w:rPr>
      <w:rFonts w:cs="黑体"/>
      <w:b/>
      <w:bCs/>
      <w:sz w:val="28"/>
      <w:szCs w:val="26"/>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unhideWhenUsed/>
    <w:qFormat/>
    <w:uiPriority w:val="99"/>
    <w:pPr>
      <w:adjustRightInd w:val="0"/>
      <w:snapToGrid w:val="0"/>
      <w:spacing w:line="300" w:lineRule="auto"/>
      <w:ind w:firstLine="200" w:firstLineChars="200"/>
    </w:pPr>
    <w:rPr>
      <w:rFonts w:ascii="仿宋_GB2312" w:eastAsia="仿宋_GB2312"/>
      <w:sz w:val="28"/>
    </w:rPr>
  </w:style>
  <w:style w:type="paragraph" w:styleId="5">
    <w:name w:val="Body Text"/>
    <w:basedOn w:val="1"/>
    <w:autoRedefine/>
    <w:unhideWhenUsed/>
    <w:qFormat/>
    <w:uiPriority w:val="0"/>
    <w:pPr>
      <w:spacing w:after="120"/>
    </w:pPr>
    <w:rPr>
      <w:rFonts w:ascii="Times New Roman" w:hAnsi="Times New Roman"/>
      <w:szCs w:val="20"/>
    </w:rPr>
  </w:style>
  <w:style w:type="paragraph" w:styleId="6">
    <w:name w:val="footer"/>
    <w:basedOn w:val="1"/>
    <w:link w:val="40"/>
    <w:autoRedefine/>
    <w:qFormat/>
    <w:uiPriority w:val="0"/>
    <w:pPr>
      <w:tabs>
        <w:tab w:val="center" w:pos="4153"/>
        <w:tab w:val="right" w:pos="8306"/>
      </w:tabs>
      <w:snapToGrid w:val="0"/>
    </w:pPr>
    <w:rPr>
      <w:sz w:val="18"/>
      <w:szCs w:val="18"/>
    </w:rPr>
  </w:style>
  <w:style w:type="paragraph" w:styleId="7">
    <w:name w:val="header"/>
    <w:basedOn w:val="1"/>
    <w:link w:val="39"/>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toc 2"/>
    <w:basedOn w:val="1"/>
    <w:next w:val="1"/>
    <w:autoRedefine/>
    <w:qFormat/>
    <w:uiPriority w:val="1"/>
    <w:pPr>
      <w:spacing w:line="272" w:lineRule="exact"/>
      <w:ind w:left="520"/>
    </w:pPr>
    <w:rPr>
      <w:sz w:val="21"/>
      <w:szCs w:val="21"/>
    </w:rPr>
  </w:style>
  <w:style w:type="paragraph" w:styleId="9">
    <w:name w:val="Normal (Web)"/>
    <w:basedOn w:val="1"/>
    <w:autoRedefine/>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10">
    <w:name w:val="Title"/>
    <w:basedOn w:val="8"/>
    <w:next w:val="1"/>
    <w:autoRedefine/>
    <w:qFormat/>
    <w:uiPriority w:val="0"/>
    <w:pPr>
      <w:jc w:val="center"/>
      <w:outlineLvl w:val="0"/>
    </w:pPr>
    <w:rPr>
      <w:rFonts w:ascii="Cambria" w:hAnsi="Cambria"/>
      <w:bCs/>
      <w:sz w:val="32"/>
      <w:szCs w:val="32"/>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autoRedefine/>
    <w:qFormat/>
    <w:uiPriority w:val="0"/>
    <w:rPr>
      <w:b/>
    </w:rPr>
  </w:style>
  <w:style w:type="character" w:styleId="15">
    <w:name w:val="page number"/>
    <w:basedOn w:val="13"/>
    <w:qFormat/>
    <w:uiPriority w:val="0"/>
  </w:style>
  <w:style w:type="character" w:styleId="16">
    <w:name w:val="Hyperlink"/>
    <w:basedOn w:val="13"/>
    <w:autoRedefine/>
    <w:unhideWhenUsed/>
    <w:qFormat/>
    <w:uiPriority w:val="99"/>
    <w:rPr>
      <w:color w:val="296FBE"/>
      <w:u w:val="none"/>
    </w:rPr>
  </w:style>
  <w:style w:type="character" w:customStyle="1" w:styleId="17">
    <w:name w:val="标题 #1_"/>
    <w:basedOn w:val="13"/>
    <w:link w:val="18"/>
    <w:qFormat/>
    <w:uiPriority w:val="0"/>
    <w:rPr>
      <w:rFonts w:ascii="宋体" w:hAnsi="宋体" w:eastAsia="宋体" w:cs="宋体"/>
      <w:sz w:val="126"/>
      <w:szCs w:val="126"/>
      <w:u w:val="none"/>
      <w:lang w:val="zh-CN" w:eastAsia="zh-CN" w:bidi="zh-CN"/>
    </w:rPr>
  </w:style>
  <w:style w:type="paragraph" w:customStyle="1" w:styleId="18">
    <w:name w:val="标题 #1"/>
    <w:basedOn w:val="1"/>
    <w:link w:val="17"/>
    <w:qFormat/>
    <w:uiPriority w:val="0"/>
    <w:pPr>
      <w:jc w:val="center"/>
      <w:outlineLvl w:val="0"/>
    </w:pPr>
    <w:rPr>
      <w:rFonts w:ascii="宋体" w:hAnsi="宋体" w:eastAsia="宋体" w:cs="宋体"/>
      <w:sz w:val="126"/>
      <w:szCs w:val="126"/>
      <w:lang w:val="zh-CN" w:eastAsia="zh-CN" w:bidi="zh-CN"/>
    </w:rPr>
  </w:style>
  <w:style w:type="character" w:customStyle="1" w:styleId="19">
    <w:name w:val="正文文本 (4)_"/>
    <w:basedOn w:val="13"/>
    <w:link w:val="20"/>
    <w:autoRedefine/>
    <w:qFormat/>
    <w:uiPriority w:val="0"/>
    <w:rPr>
      <w:rFonts w:ascii="Arial" w:hAnsi="Arial" w:eastAsia="Arial" w:cs="Arial"/>
      <w:sz w:val="46"/>
      <w:szCs w:val="46"/>
      <w:u w:val="none"/>
      <w:lang w:val="zh-CN" w:eastAsia="zh-CN" w:bidi="zh-CN"/>
    </w:rPr>
  </w:style>
  <w:style w:type="paragraph" w:customStyle="1" w:styleId="20">
    <w:name w:val="正文文本 (4)"/>
    <w:basedOn w:val="1"/>
    <w:link w:val="19"/>
    <w:qFormat/>
    <w:uiPriority w:val="0"/>
    <w:rPr>
      <w:rFonts w:ascii="Arial" w:hAnsi="Arial" w:eastAsia="Arial" w:cs="Arial"/>
      <w:sz w:val="46"/>
      <w:szCs w:val="46"/>
      <w:lang w:val="zh-CN" w:eastAsia="zh-CN" w:bidi="zh-CN"/>
    </w:rPr>
  </w:style>
  <w:style w:type="character" w:customStyle="1" w:styleId="21">
    <w:name w:val="正文文本_"/>
    <w:basedOn w:val="13"/>
    <w:link w:val="22"/>
    <w:qFormat/>
    <w:uiPriority w:val="0"/>
    <w:rPr>
      <w:rFonts w:ascii="宋体" w:hAnsi="宋体" w:eastAsia="宋体" w:cs="宋体"/>
      <w:sz w:val="36"/>
      <w:szCs w:val="36"/>
      <w:u w:val="none"/>
      <w:lang w:val="zh-CN" w:eastAsia="zh-CN" w:bidi="zh-CN"/>
    </w:rPr>
  </w:style>
  <w:style w:type="paragraph" w:customStyle="1" w:styleId="22">
    <w:name w:val="正文文本1"/>
    <w:basedOn w:val="1"/>
    <w:link w:val="21"/>
    <w:autoRedefine/>
    <w:qFormat/>
    <w:uiPriority w:val="0"/>
    <w:pPr>
      <w:spacing w:line="480" w:lineRule="auto"/>
      <w:ind w:firstLine="400"/>
    </w:pPr>
    <w:rPr>
      <w:rFonts w:ascii="宋体" w:hAnsi="宋体" w:eastAsia="宋体" w:cs="宋体"/>
      <w:sz w:val="36"/>
      <w:szCs w:val="36"/>
      <w:lang w:val="zh-CN" w:eastAsia="zh-CN" w:bidi="zh-CN"/>
    </w:rPr>
  </w:style>
  <w:style w:type="character" w:customStyle="1" w:styleId="23">
    <w:name w:val="正文文本 (2)_"/>
    <w:basedOn w:val="13"/>
    <w:link w:val="24"/>
    <w:qFormat/>
    <w:uiPriority w:val="0"/>
    <w:rPr>
      <w:rFonts w:ascii="宋体" w:hAnsi="宋体" w:eastAsia="宋体" w:cs="宋体"/>
      <w:sz w:val="44"/>
      <w:szCs w:val="44"/>
      <w:u w:val="none"/>
      <w:lang w:val="zh-CN" w:eastAsia="zh-CN" w:bidi="zh-CN"/>
    </w:rPr>
  </w:style>
  <w:style w:type="paragraph" w:customStyle="1" w:styleId="24">
    <w:name w:val="正文文本 (2)"/>
    <w:basedOn w:val="1"/>
    <w:link w:val="23"/>
    <w:qFormat/>
    <w:uiPriority w:val="0"/>
    <w:pPr>
      <w:spacing w:after="720"/>
    </w:pPr>
    <w:rPr>
      <w:rFonts w:ascii="宋体" w:hAnsi="宋体" w:eastAsia="宋体" w:cs="宋体"/>
      <w:sz w:val="44"/>
      <w:szCs w:val="44"/>
      <w:lang w:val="zh-CN" w:eastAsia="zh-CN" w:bidi="zh-CN"/>
    </w:rPr>
  </w:style>
  <w:style w:type="character" w:customStyle="1" w:styleId="25">
    <w:name w:val="页眉或页脚 (2)_"/>
    <w:basedOn w:val="13"/>
    <w:link w:val="26"/>
    <w:autoRedefine/>
    <w:qFormat/>
    <w:uiPriority w:val="0"/>
    <w:rPr>
      <w:rFonts w:ascii="Times New Roman" w:hAnsi="Times New Roman" w:eastAsia="Times New Roman" w:cs="Times New Roman"/>
      <w:sz w:val="20"/>
      <w:szCs w:val="20"/>
      <w:u w:val="none"/>
      <w:lang w:val="zh-CN" w:eastAsia="zh-CN" w:bidi="zh-CN"/>
    </w:rPr>
  </w:style>
  <w:style w:type="paragraph" w:customStyle="1" w:styleId="26">
    <w:name w:val="页眉或页脚 (2)"/>
    <w:basedOn w:val="1"/>
    <w:link w:val="25"/>
    <w:qFormat/>
    <w:uiPriority w:val="0"/>
    <w:rPr>
      <w:rFonts w:ascii="Times New Roman" w:hAnsi="Times New Roman" w:eastAsia="Times New Roman" w:cs="Times New Roman"/>
      <w:sz w:val="20"/>
      <w:szCs w:val="20"/>
      <w:lang w:val="zh-CN" w:eastAsia="zh-CN" w:bidi="zh-CN"/>
    </w:rPr>
  </w:style>
  <w:style w:type="character" w:customStyle="1" w:styleId="27">
    <w:name w:val="标题 #3_"/>
    <w:basedOn w:val="13"/>
    <w:link w:val="28"/>
    <w:qFormat/>
    <w:uiPriority w:val="0"/>
    <w:rPr>
      <w:rFonts w:ascii="宋体" w:hAnsi="宋体" w:eastAsia="宋体" w:cs="宋体"/>
      <w:b/>
      <w:bCs/>
      <w:sz w:val="36"/>
      <w:szCs w:val="36"/>
      <w:u w:val="none"/>
      <w:lang w:val="zh-CN" w:eastAsia="zh-CN" w:bidi="zh-CN"/>
    </w:rPr>
  </w:style>
  <w:style w:type="paragraph" w:customStyle="1" w:styleId="28">
    <w:name w:val="标题 #3"/>
    <w:basedOn w:val="1"/>
    <w:link w:val="27"/>
    <w:autoRedefine/>
    <w:qFormat/>
    <w:uiPriority w:val="0"/>
    <w:pPr>
      <w:spacing w:line="902" w:lineRule="exact"/>
      <w:ind w:firstLine="780"/>
      <w:outlineLvl w:val="2"/>
    </w:pPr>
    <w:rPr>
      <w:rFonts w:ascii="宋体" w:hAnsi="宋体" w:eastAsia="宋体" w:cs="宋体"/>
      <w:b/>
      <w:bCs/>
      <w:sz w:val="36"/>
      <w:szCs w:val="36"/>
      <w:lang w:val="zh-CN" w:eastAsia="zh-CN" w:bidi="zh-CN"/>
    </w:rPr>
  </w:style>
  <w:style w:type="character" w:customStyle="1" w:styleId="29">
    <w:name w:val="目录_"/>
    <w:basedOn w:val="13"/>
    <w:link w:val="30"/>
    <w:qFormat/>
    <w:uiPriority w:val="0"/>
    <w:rPr>
      <w:rFonts w:ascii="宋体" w:hAnsi="宋体" w:eastAsia="宋体" w:cs="宋体"/>
      <w:sz w:val="36"/>
      <w:szCs w:val="36"/>
      <w:u w:val="none"/>
      <w:lang w:val="zh-CN" w:eastAsia="zh-CN" w:bidi="zh-CN"/>
    </w:rPr>
  </w:style>
  <w:style w:type="paragraph" w:customStyle="1" w:styleId="30">
    <w:name w:val="目录"/>
    <w:basedOn w:val="1"/>
    <w:link w:val="29"/>
    <w:qFormat/>
    <w:uiPriority w:val="0"/>
    <w:pPr>
      <w:spacing w:line="830" w:lineRule="exact"/>
      <w:ind w:firstLine="840"/>
    </w:pPr>
    <w:rPr>
      <w:rFonts w:ascii="宋体" w:hAnsi="宋体" w:eastAsia="宋体" w:cs="宋体"/>
      <w:sz w:val="36"/>
      <w:szCs w:val="36"/>
      <w:lang w:val="zh-CN" w:eastAsia="zh-CN" w:bidi="zh-CN"/>
    </w:rPr>
  </w:style>
  <w:style w:type="character" w:customStyle="1" w:styleId="31">
    <w:name w:val="标题 #2_"/>
    <w:basedOn w:val="13"/>
    <w:link w:val="32"/>
    <w:autoRedefine/>
    <w:qFormat/>
    <w:uiPriority w:val="0"/>
    <w:rPr>
      <w:rFonts w:ascii="宋体" w:hAnsi="宋体" w:eastAsia="宋体" w:cs="宋体"/>
      <w:sz w:val="52"/>
      <w:szCs w:val="52"/>
      <w:u w:val="none"/>
      <w:lang w:val="zh-CN" w:eastAsia="zh-CN" w:bidi="zh-CN"/>
    </w:rPr>
  </w:style>
  <w:style w:type="paragraph" w:customStyle="1" w:styleId="32">
    <w:name w:val="标题 #2"/>
    <w:basedOn w:val="1"/>
    <w:link w:val="31"/>
    <w:autoRedefine/>
    <w:qFormat/>
    <w:uiPriority w:val="0"/>
    <w:pPr>
      <w:spacing w:before="260" w:after="800"/>
      <w:jc w:val="center"/>
      <w:outlineLvl w:val="1"/>
    </w:pPr>
    <w:rPr>
      <w:rFonts w:ascii="宋体" w:hAnsi="宋体" w:eastAsia="宋体" w:cs="宋体"/>
      <w:sz w:val="52"/>
      <w:szCs w:val="52"/>
      <w:lang w:val="zh-CN" w:eastAsia="zh-CN" w:bidi="zh-CN"/>
    </w:rPr>
  </w:style>
  <w:style w:type="character" w:customStyle="1" w:styleId="33">
    <w:name w:val="正文文本 (3)_"/>
    <w:basedOn w:val="13"/>
    <w:link w:val="34"/>
    <w:autoRedefine/>
    <w:qFormat/>
    <w:uiPriority w:val="0"/>
    <w:rPr>
      <w:rFonts w:ascii="宋体" w:hAnsi="宋体" w:eastAsia="宋体" w:cs="宋体"/>
      <w:sz w:val="28"/>
      <w:szCs w:val="28"/>
      <w:u w:val="none"/>
      <w:lang w:val="zh-CN" w:eastAsia="zh-CN" w:bidi="zh-CN"/>
    </w:rPr>
  </w:style>
  <w:style w:type="paragraph" w:customStyle="1" w:styleId="34">
    <w:name w:val="正文文本 (3)"/>
    <w:basedOn w:val="1"/>
    <w:link w:val="33"/>
    <w:autoRedefine/>
    <w:qFormat/>
    <w:uiPriority w:val="0"/>
    <w:pPr>
      <w:spacing w:after="1130"/>
      <w:jc w:val="center"/>
    </w:pPr>
    <w:rPr>
      <w:rFonts w:ascii="宋体" w:hAnsi="宋体" w:eastAsia="宋体" w:cs="宋体"/>
      <w:sz w:val="28"/>
      <w:szCs w:val="28"/>
      <w:lang w:val="zh-CN" w:eastAsia="zh-CN" w:bidi="zh-CN"/>
    </w:rPr>
  </w:style>
  <w:style w:type="character" w:customStyle="1" w:styleId="35">
    <w:name w:val="表格标题_"/>
    <w:basedOn w:val="13"/>
    <w:link w:val="36"/>
    <w:autoRedefine/>
    <w:qFormat/>
    <w:uiPriority w:val="0"/>
    <w:rPr>
      <w:rFonts w:ascii="宋体" w:hAnsi="宋体" w:eastAsia="宋体" w:cs="宋体"/>
      <w:sz w:val="36"/>
      <w:szCs w:val="36"/>
      <w:u w:val="none"/>
      <w:lang w:val="zh-CN" w:eastAsia="zh-CN" w:bidi="zh-CN"/>
    </w:rPr>
  </w:style>
  <w:style w:type="paragraph" w:customStyle="1" w:styleId="36">
    <w:name w:val="表格标题"/>
    <w:basedOn w:val="1"/>
    <w:link w:val="35"/>
    <w:autoRedefine/>
    <w:qFormat/>
    <w:uiPriority w:val="0"/>
    <w:rPr>
      <w:rFonts w:ascii="宋体" w:hAnsi="宋体" w:eastAsia="宋体" w:cs="宋体"/>
      <w:sz w:val="36"/>
      <w:szCs w:val="36"/>
      <w:lang w:val="zh-CN" w:eastAsia="zh-CN" w:bidi="zh-CN"/>
    </w:rPr>
  </w:style>
  <w:style w:type="character" w:customStyle="1" w:styleId="37">
    <w:name w:val="其他_"/>
    <w:basedOn w:val="13"/>
    <w:link w:val="38"/>
    <w:autoRedefine/>
    <w:qFormat/>
    <w:uiPriority w:val="0"/>
    <w:rPr>
      <w:rFonts w:ascii="宋体" w:hAnsi="宋体" w:eastAsia="宋体" w:cs="宋体"/>
      <w:sz w:val="36"/>
      <w:szCs w:val="36"/>
      <w:u w:val="none"/>
      <w:lang w:val="zh-CN" w:eastAsia="zh-CN" w:bidi="zh-CN"/>
    </w:rPr>
  </w:style>
  <w:style w:type="paragraph" w:customStyle="1" w:styleId="38">
    <w:name w:val="其他"/>
    <w:basedOn w:val="1"/>
    <w:link w:val="37"/>
    <w:qFormat/>
    <w:uiPriority w:val="0"/>
    <w:pPr>
      <w:spacing w:line="480" w:lineRule="auto"/>
      <w:ind w:firstLine="400"/>
    </w:pPr>
    <w:rPr>
      <w:rFonts w:ascii="宋体" w:hAnsi="宋体" w:eastAsia="宋体" w:cs="宋体"/>
      <w:sz w:val="36"/>
      <w:szCs w:val="36"/>
      <w:lang w:val="zh-CN" w:eastAsia="zh-CN" w:bidi="zh-CN"/>
    </w:rPr>
  </w:style>
  <w:style w:type="character" w:customStyle="1" w:styleId="39">
    <w:name w:val="页眉 Char"/>
    <w:basedOn w:val="13"/>
    <w:link w:val="7"/>
    <w:autoRedefine/>
    <w:qFormat/>
    <w:uiPriority w:val="0"/>
    <w:rPr>
      <w:rFonts w:eastAsia="Courier New"/>
      <w:color w:val="000000"/>
      <w:sz w:val="18"/>
      <w:szCs w:val="18"/>
      <w:lang w:eastAsia="en-US" w:bidi="en-US"/>
    </w:rPr>
  </w:style>
  <w:style w:type="character" w:customStyle="1" w:styleId="40">
    <w:name w:val="页脚 Char"/>
    <w:basedOn w:val="13"/>
    <w:link w:val="6"/>
    <w:qFormat/>
    <w:uiPriority w:val="0"/>
    <w:rPr>
      <w:rFonts w:eastAsia="Courier New"/>
      <w:color w:val="000000"/>
      <w:sz w:val="18"/>
      <w:szCs w:val="18"/>
      <w:lang w:eastAsia="en-US" w:bidi="en-US"/>
    </w:rPr>
  </w:style>
  <w:style w:type="paragraph" w:customStyle="1" w:styleId="41">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
    <w:name w:val="Table Paragraph"/>
    <w:basedOn w:val="1"/>
    <w:autoRedefine/>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Pages>
  <Words>1513</Words>
  <Characters>1697</Characters>
  <Lines>89</Lines>
  <Paragraphs>25</Paragraphs>
  <TotalTime>1107</TotalTime>
  <ScaleCrop>false</ScaleCrop>
  <LinksUpToDate>false</LinksUpToDate>
  <CharactersWithSpaces>1783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2021-03-25T09:07:00Z</dcterms:created>
  <dc:creator>bingdian001.com</dc:creator>
  <cp:keywords>bingdian001.com</cp:keywords>
  <cp:lastModifiedBy>浅浅想减肥</cp:lastModifiedBy>
  <dcterms:modified xsi:type="dcterms:W3CDTF">2025-08-15T01:42:48Z</dcterms:modified>
  <dc:subject>bingdian001.com</dc:subject>
  <dc:title>bingdian001.com</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C2710A415B4C4A34ACCC8DE8901CC495</vt:lpwstr>
  </property>
  <property fmtid="{D5CDD505-2E9C-101B-9397-08002B2CF9AE}" pid="4" name="KSOSaveFontToCloudKey">
    <vt:lpwstr>0_btnclosed</vt:lpwstr>
  </property>
  <property fmtid="{D5CDD505-2E9C-101B-9397-08002B2CF9AE}" pid="5" name="KSOTemplateDocerSaveRecord">
    <vt:lpwstr>eyJoZGlkIjoiYzRkZWFmZTE3Njg2NzM4ZDBhNWQzNGNjNzI1NDVkODAiLCJ1c2VySWQiOiI5NzYzNzYxMjcifQ==</vt:lpwstr>
  </property>
</Properties>
</file>