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4CEAE">
      <w:pPr>
        <w:jc w:val="center"/>
        <w:rPr>
          <w:rFonts w:ascii="宋体" w:hAnsi="宋体" w:cs="宋体"/>
          <w:b/>
          <w:bCs/>
          <w:sz w:val="28"/>
          <w:szCs w:val="28"/>
        </w:rPr>
      </w:pPr>
      <w:r>
        <w:rPr>
          <w:rFonts w:hint="eastAsia" w:ascii="宋体" w:hAnsi="宋体" w:cs="宋体"/>
          <w:b/>
          <w:sz w:val="44"/>
          <w:szCs w:val="36"/>
        </w:rPr>
        <w:t>询   价   函</w:t>
      </w:r>
    </w:p>
    <w:p w14:paraId="22E66AAC">
      <w:pPr>
        <w:spacing w:line="320" w:lineRule="exact"/>
        <w:rPr>
          <w:rFonts w:ascii="宋体" w:hAnsi="宋体" w:cs="宋体"/>
          <w:b/>
          <w:bCs/>
          <w:sz w:val="32"/>
          <w:szCs w:val="28"/>
        </w:rPr>
      </w:pPr>
      <w:r>
        <w:rPr>
          <w:rFonts w:hint="eastAsia" w:ascii="宋体" w:hAnsi="宋体" w:cs="宋体"/>
          <w:b/>
          <w:bCs/>
          <w:sz w:val="32"/>
          <w:szCs w:val="28"/>
        </w:rPr>
        <w:t>贵公司：</w:t>
      </w:r>
    </w:p>
    <w:p w14:paraId="7399BAA0">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各分公司2024.9.7二分公司项目需采购</w:t>
      </w:r>
      <w:r>
        <w:rPr>
          <w:rFonts w:hint="eastAsia"/>
          <w:sz w:val="24"/>
        </w:rPr>
        <w:t>电动闸阀</w:t>
      </w:r>
      <w:r>
        <w:rPr>
          <w:rFonts w:hint="eastAsia" w:asciiTheme="minorEastAsia" w:hAnsiTheme="minorEastAsia" w:eastAsiaTheme="minorEastAsia"/>
          <w:sz w:val="24"/>
        </w:rPr>
        <w:t>一批，详见下表采购清单及技术要求</w:t>
      </w:r>
    </w:p>
    <w:p w14:paraId="07B02667">
      <w:pPr>
        <w:pStyle w:val="13"/>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36"/>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276"/>
        <w:gridCol w:w="567"/>
        <w:gridCol w:w="851"/>
        <w:gridCol w:w="992"/>
        <w:gridCol w:w="2835"/>
      </w:tblGrid>
      <w:tr w14:paraId="2B2DF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2A0F3D97">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69CC7968">
            <w:pPr>
              <w:widowControl/>
              <w:jc w:val="center"/>
              <w:textAlignment w:val="center"/>
              <w:rPr>
                <w:rFonts w:ascii="宋体" w:hAnsi="宋体" w:cs="宋体"/>
                <w:b/>
                <w:bCs/>
                <w:sz w:val="24"/>
              </w:rPr>
            </w:pPr>
            <w:r>
              <w:rPr>
                <w:rFonts w:hint="eastAsia" w:ascii="宋体" w:hAnsi="宋体" w:cs="宋体"/>
                <w:b/>
                <w:bCs/>
                <w:sz w:val="24"/>
              </w:rPr>
              <w:t>名称</w:t>
            </w:r>
          </w:p>
        </w:tc>
        <w:tc>
          <w:tcPr>
            <w:tcW w:w="1276" w:type="dxa"/>
            <w:vAlign w:val="center"/>
          </w:tcPr>
          <w:p w14:paraId="79FA0556">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567" w:type="dxa"/>
            <w:vAlign w:val="center"/>
          </w:tcPr>
          <w:p w14:paraId="1DB0C835">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851" w:type="dxa"/>
            <w:vAlign w:val="center"/>
          </w:tcPr>
          <w:p w14:paraId="7AEB86E2">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992" w:type="dxa"/>
            <w:vAlign w:val="center"/>
          </w:tcPr>
          <w:p w14:paraId="134ADDDF">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 xml:space="preserve">计 划 </w:t>
            </w:r>
          </w:p>
          <w:p w14:paraId="6DC58E3D">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 号</w:t>
            </w:r>
          </w:p>
        </w:tc>
        <w:tc>
          <w:tcPr>
            <w:tcW w:w="2835" w:type="dxa"/>
            <w:vAlign w:val="center"/>
          </w:tcPr>
          <w:p w14:paraId="70A51292">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0ED5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B584BEA">
            <w:pPr>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1</w:t>
            </w:r>
          </w:p>
        </w:tc>
        <w:tc>
          <w:tcPr>
            <w:tcW w:w="1274" w:type="dxa"/>
            <w:vAlign w:val="center"/>
          </w:tcPr>
          <w:p w14:paraId="7C8E2872">
            <w:pPr>
              <w:jc w:val="center"/>
              <w:rPr>
                <w:rFonts w:cs="宋体" w:asciiTheme="minorEastAsia" w:hAnsiTheme="minorEastAsia" w:eastAsiaTheme="minorEastAsia"/>
                <w:szCs w:val="21"/>
              </w:rPr>
            </w:pPr>
            <w:r>
              <w:rPr>
                <w:rFonts w:hint="eastAsia" w:asciiTheme="minorEastAsia" w:hAnsiTheme="minorEastAsia" w:eastAsiaTheme="minorEastAsia"/>
                <w:szCs w:val="21"/>
              </w:rPr>
              <w:t>电动闸阀(含电动执行机构)</w:t>
            </w:r>
          </w:p>
        </w:tc>
        <w:tc>
          <w:tcPr>
            <w:tcW w:w="1276" w:type="dxa"/>
            <w:vAlign w:val="center"/>
          </w:tcPr>
          <w:p w14:paraId="0FD0FC72">
            <w:pPr>
              <w:jc w:val="center"/>
              <w:rPr>
                <w:rFonts w:cs="宋体" w:asciiTheme="minorEastAsia" w:hAnsiTheme="minorEastAsia" w:eastAsiaTheme="minorEastAsia"/>
                <w:szCs w:val="21"/>
              </w:rPr>
            </w:pPr>
            <w:r>
              <w:rPr>
                <w:rFonts w:hint="eastAsia" w:asciiTheme="minorEastAsia" w:hAnsiTheme="minorEastAsia" w:eastAsiaTheme="minorEastAsia"/>
                <w:szCs w:val="21"/>
              </w:rPr>
              <w:t xml:space="preserve"> DN150 PN64</w:t>
            </w:r>
          </w:p>
        </w:tc>
        <w:tc>
          <w:tcPr>
            <w:tcW w:w="567" w:type="dxa"/>
            <w:vAlign w:val="center"/>
          </w:tcPr>
          <w:p w14:paraId="221CE949">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851" w:type="dxa"/>
            <w:vAlign w:val="center"/>
          </w:tcPr>
          <w:p w14:paraId="45A26F05">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992" w:type="dxa"/>
            <w:vAlign w:val="center"/>
          </w:tcPr>
          <w:p w14:paraId="63105256">
            <w:pPr>
              <w:jc w:val="center"/>
              <w:rPr>
                <w:rFonts w:cs="宋体" w:asciiTheme="minorEastAsia" w:hAnsiTheme="minorEastAsia" w:eastAsiaTheme="minorEastAsia"/>
                <w:szCs w:val="21"/>
              </w:rPr>
            </w:pPr>
          </w:p>
        </w:tc>
        <w:tc>
          <w:tcPr>
            <w:tcW w:w="2835" w:type="dxa"/>
            <w:vAlign w:val="center"/>
          </w:tcPr>
          <w:p w14:paraId="67D5F649">
            <w:pPr>
              <w:rPr>
                <w:sz w:val="18"/>
                <w:szCs w:val="18"/>
              </w:rPr>
            </w:pPr>
            <w:r>
              <w:rPr>
                <w:rFonts w:hint="eastAsia" w:asciiTheme="minorEastAsia" w:hAnsiTheme="minorEastAsia" w:eastAsiaTheme="minorEastAsia"/>
                <w:sz w:val="18"/>
                <w:szCs w:val="18"/>
              </w:rPr>
              <w:t>电动执行机构推荐：舒瓦驰、西贝、西博思或同档次及以上质量的品牌。（同等质量须在投选截止前获得使用人认可）。详见参数表。</w:t>
            </w:r>
          </w:p>
        </w:tc>
      </w:tr>
      <w:tr w14:paraId="719C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A093EB2">
            <w:pPr>
              <w:jc w:val="center"/>
              <w:rPr>
                <w:b/>
                <w:color w:val="000000"/>
              </w:rPr>
            </w:pPr>
            <w:r>
              <w:rPr>
                <w:rFonts w:hint="eastAsia"/>
                <w:b/>
                <w:color w:val="000000"/>
              </w:rPr>
              <w:t>2</w:t>
            </w:r>
          </w:p>
        </w:tc>
        <w:tc>
          <w:tcPr>
            <w:tcW w:w="1274" w:type="dxa"/>
            <w:vAlign w:val="center"/>
          </w:tcPr>
          <w:p w14:paraId="05E808CB">
            <w:pPr>
              <w:jc w:val="center"/>
              <w:rPr>
                <w:rFonts w:cs="宋体" w:asciiTheme="minorEastAsia" w:hAnsiTheme="minorEastAsia" w:eastAsiaTheme="minorEastAsia"/>
                <w:szCs w:val="21"/>
              </w:rPr>
            </w:pPr>
            <w:r>
              <w:rPr>
                <w:rFonts w:cs="宋体" w:asciiTheme="minorEastAsia" w:hAnsiTheme="minorEastAsia" w:eastAsiaTheme="minorEastAsia"/>
                <w:szCs w:val="21"/>
              </w:rPr>
              <w:t>合计</w:t>
            </w:r>
          </w:p>
        </w:tc>
        <w:tc>
          <w:tcPr>
            <w:tcW w:w="1276" w:type="dxa"/>
            <w:vAlign w:val="center"/>
          </w:tcPr>
          <w:p w14:paraId="5E7E4EE2">
            <w:pPr>
              <w:jc w:val="center"/>
              <w:rPr>
                <w:rFonts w:cs="宋体" w:asciiTheme="minorEastAsia" w:hAnsiTheme="minorEastAsia" w:eastAsiaTheme="minorEastAsia"/>
                <w:szCs w:val="21"/>
              </w:rPr>
            </w:pPr>
          </w:p>
        </w:tc>
        <w:tc>
          <w:tcPr>
            <w:tcW w:w="567" w:type="dxa"/>
            <w:vAlign w:val="center"/>
          </w:tcPr>
          <w:p w14:paraId="3DE5CC7F">
            <w:pPr>
              <w:jc w:val="center"/>
              <w:rPr>
                <w:rFonts w:cs="宋体" w:asciiTheme="minorEastAsia" w:hAnsiTheme="minorEastAsia" w:eastAsiaTheme="minorEastAsia"/>
                <w:szCs w:val="21"/>
              </w:rPr>
            </w:pPr>
          </w:p>
        </w:tc>
        <w:tc>
          <w:tcPr>
            <w:tcW w:w="851" w:type="dxa"/>
            <w:vAlign w:val="center"/>
          </w:tcPr>
          <w:p w14:paraId="155573E9">
            <w:pPr>
              <w:jc w:val="center"/>
              <w:rPr>
                <w:rFonts w:cs="宋体" w:asciiTheme="minorEastAsia" w:hAnsiTheme="minorEastAsia" w:eastAsiaTheme="minorEastAsia"/>
                <w:szCs w:val="21"/>
              </w:rPr>
            </w:pPr>
          </w:p>
        </w:tc>
        <w:tc>
          <w:tcPr>
            <w:tcW w:w="992" w:type="dxa"/>
            <w:vAlign w:val="center"/>
          </w:tcPr>
          <w:p w14:paraId="7036703B">
            <w:pPr>
              <w:jc w:val="center"/>
              <w:rPr>
                <w:rFonts w:cs="宋体" w:asciiTheme="minorEastAsia" w:hAnsiTheme="minorEastAsia" w:eastAsiaTheme="minorEastAsia"/>
                <w:szCs w:val="21"/>
              </w:rPr>
            </w:pPr>
          </w:p>
        </w:tc>
        <w:tc>
          <w:tcPr>
            <w:tcW w:w="2835" w:type="dxa"/>
            <w:vAlign w:val="center"/>
          </w:tcPr>
          <w:p w14:paraId="0CDFB961">
            <w:pPr>
              <w:jc w:val="center"/>
              <w:rPr>
                <w:rFonts w:cs="宋体" w:asciiTheme="minorEastAsia" w:hAnsiTheme="minorEastAsia" w:eastAsiaTheme="minorEastAsia"/>
                <w:szCs w:val="21"/>
              </w:rPr>
            </w:pPr>
          </w:p>
        </w:tc>
      </w:tr>
    </w:tbl>
    <w:p w14:paraId="75E41EEA">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7F77E921">
      <w:pPr>
        <w:tabs>
          <w:tab w:val="left" w:pos="1290"/>
        </w:tabs>
        <w:rPr>
          <w:rFonts w:ascii="宋体" w:hAnsi="宋体"/>
          <w:b/>
          <w:bCs/>
          <w:sz w:val="24"/>
        </w:rPr>
      </w:pPr>
      <w:r>
        <w:rPr>
          <w:rFonts w:hint="eastAsia" w:ascii="宋体" w:hAnsi="宋体"/>
          <w:b/>
          <w:bCs/>
          <w:sz w:val="24"/>
          <w:u w:val="single"/>
        </w:rPr>
        <w:t xml:space="preserve">付款方式:                     质保期：                       </w:t>
      </w:r>
    </w:p>
    <w:p w14:paraId="40B2292A">
      <w:pPr>
        <w:spacing w:line="480" w:lineRule="auto"/>
        <w:rPr>
          <w:rFonts w:asciiTheme="minorEastAsia" w:hAnsiTheme="minorEastAsia" w:eastAsiaTheme="minorEastAsia"/>
          <w:bCs/>
          <w:szCs w:val="21"/>
          <w:u w:val="single"/>
        </w:rPr>
      </w:pPr>
      <w:r>
        <w:rPr>
          <w:rFonts w:hint="eastAsia" w:ascii="宋体" w:hAnsi="宋体"/>
          <w:b/>
          <w:bCs/>
          <w:sz w:val="24"/>
        </w:rPr>
        <w:t>备注：</w:t>
      </w:r>
      <w:r>
        <w:rPr>
          <w:rFonts w:hint="eastAsia" w:asciiTheme="minorEastAsia" w:hAnsiTheme="minorEastAsia" w:eastAsiaTheme="minorEastAsia"/>
          <w:bCs/>
          <w:szCs w:val="21"/>
          <w:u w:val="single"/>
        </w:rPr>
        <w:t xml:space="preserve">   有报告    </w:t>
      </w:r>
    </w:p>
    <w:p w14:paraId="3958986F">
      <w:pPr>
        <w:rPr>
          <w:rFonts w:ascii="宋体" w:hAnsi="宋体" w:cs="宋体"/>
          <w:b/>
          <w:bCs/>
          <w:sz w:val="24"/>
        </w:rPr>
      </w:pPr>
    </w:p>
    <w:p w14:paraId="51151E47">
      <w:pPr>
        <w:rPr>
          <w:rFonts w:ascii="宋体" w:hAnsi="宋体" w:cs="宋体"/>
          <w:b/>
          <w:bCs/>
          <w:sz w:val="24"/>
        </w:rPr>
      </w:pPr>
    </w:p>
    <w:p w14:paraId="7A5D72BD">
      <w:pPr>
        <w:rPr>
          <w:rFonts w:ascii="宋体" w:hAnsi="宋体" w:cs="宋体"/>
          <w:b/>
          <w:bCs/>
          <w:sz w:val="24"/>
        </w:rPr>
      </w:pPr>
    </w:p>
    <w:p w14:paraId="7843F5B7">
      <w:pPr>
        <w:rPr>
          <w:rFonts w:ascii="宋体" w:hAnsi="宋体" w:cs="宋体"/>
          <w:b/>
          <w:bCs/>
          <w:sz w:val="24"/>
        </w:rPr>
      </w:pPr>
      <w:r>
        <w:rPr>
          <w:rFonts w:hint="eastAsia" w:ascii="宋体" w:hAnsi="宋体" w:cs="宋体"/>
          <w:b/>
          <w:bCs/>
          <w:sz w:val="24"/>
        </w:rPr>
        <w:t>报价须知：</w:t>
      </w:r>
    </w:p>
    <w:p w14:paraId="129CB63A">
      <w:pPr>
        <w:numPr>
          <w:ilvl w:val="0"/>
          <w:numId w:val="1"/>
        </w:numPr>
        <w:ind w:firstLine="420" w:firstLineChars="175"/>
      </w:pPr>
      <w:r>
        <w:rPr>
          <w:rFonts w:hint="eastAsia" w:ascii="宋体" w:hAnsi="宋体" w:cs="宋体"/>
          <w:kern w:val="0"/>
          <w:sz w:val="24"/>
        </w:rPr>
        <w:t>请贵单位于2024年</w:t>
      </w:r>
      <w:r>
        <w:rPr>
          <w:rFonts w:hint="eastAsia" w:ascii="宋体" w:hAnsi="宋体" w:cs="宋体"/>
          <w:kern w:val="0"/>
          <w:sz w:val="24"/>
          <w:lang w:val="en-US" w:eastAsia="zh-CN"/>
        </w:rPr>
        <w:t>10</w:t>
      </w:r>
      <w:r>
        <w:rPr>
          <w:rFonts w:hint="eastAsia" w:ascii="宋体" w:hAnsi="宋体" w:cs="宋体"/>
          <w:kern w:val="0"/>
          <w:sz w:val="24"/>
        </w:rPr>
        <w:t>月</w:t>
      </w:r>
      <w:r>
        <w:rPr>
          <w:rFonts w:hint="eastAsia" w:ascii="宋体" w:hAnsi="宋体" w:cs="宋体"/>
          <w:kern w:val="0"/>
          <w:sz w:val="24"/>
          <w:lang w:val="en-US" w:eastAsia="zh-CN"/>
        </w:rPr>
        <w:t>8</w:t>
      </w:r>
      <w:r>
        <w:rPr>
          <w:rFonts w:hint="eastAsia" w:ascii="宋体" w:hAnsi="宋体" w:cs="宋体"/>
          <w:kern w:val="0"/>
          <w:sz w:val="24"/>
        </w:rPr>
        <w:t>日10:00点前将报价文件上传至该电子采购平台系统（网址：http://cgpt.jssyjsgf.com），上述网站没有注册会员的单位请将报价文件盖章后在截止时间前扫描发至专用接收邮箱（syjszbzx2024@163.com，邮件标题格式如下：物资名称+采购员+报价单位）</w:t>
      </w:r>
      <w:bookmarkStart w:id="208" w:name="_GoBack"/>
      <w:bookmarkEnd w:id="208"/>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612CBA23">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2F71D18E">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2AA5E34B">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1B8BFB9D">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27A2F899">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A877193">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243F19CD">
      <w:pPr>
        <w:numPr>
          <w:ilvl w:val="0"/>
          <w:numId w:val="1"/>
        </w:numPr>
        <w:ind w:firstLine="420" w:firstLineChars="175"/>
        <w:rPr>
          <w:rFonts w:cs="宋体" w:asciiTheme="minorEastAsia" w:hAnsiTheme="minorEastAsia" w:eastAsiaTheme="minorEastAsia"/>
          <w:color w:val="FF0000"/>
          <w:kern w:val="0"/>
          <w:sz w:val="24"/>
        </w:rPr>
      </w:pPr>
      <w:r>
        <w:rPr>
          <w:rFonts w:hint="eastAsia" w:cs="仿宋" w:asciiTheme="minorEastAsia" w:hAnsiTheme="minorEastAsia" w:eastAsiaTheme="minorEastAsia"/>
          <w:bCs/>
          <w:color w:val="FF0000"/>
          <w:sz w:val="24"/>
          <w:lang w:val="zh-CN" w:bidi="zh-CN"/>
        </w:rPr>
        <w:t>必须对采购清单的全部内容进行报价，否则视为无效报价；</w:t>
      </w:r>
    </w:p>
    <w:p w14:paraId="05C29F16">
      <w:pPr>
        <w:numPr>
          <w:ilvl w:val="0"/>
          <w:numId w:val="1"/>
        </w:numPr>
        <w:ind w:firstLine="420" w:firstLineChars="175"/>
        <w:rPr>
          <w:rFonts w:cs="宋体" w:asciiTheme="minorEastAsia" w:hAnsiTheme="minorEastAsia" w:eastAsiaTheme="minorEastAsia"/>
          <w:color w:val="FF0000"/>
          <w:kern w:val="0"/>
          <w:sz w:val="24"/>
        </w:rPr>
      </w:pPr>
      <w:r>
        <w:rPr>
          <w:rFonts w:hint="eastAsia" w:cs="宋体" w:asciiTheme="minorEastAsia" w:hAnsiTheme="minorEastAsia" w:eastAsiaTheme="minorEastAsia"/>
          <w:color w:val="FF0000"/>
          <w:kern w:val="0"/>
          <w:sz w:val="24"/>
        </w:rPr>
        <w:t xml:space="preserve">所有报价文件必须盖章后上传，否则视为无效报价； </w:t>
      </w:r>
      <w:r>
        <w:rPr>
          <w:rFonts w:hint="eastAsia" w:cs="宋体" w:asciiTheme="minorEastAsia" w:hAnsiTheme="minorEastAsia" w:eastAsiaTheme="minorEastAsia"/>
          <w:color w:val="FF0000"/>
          <w:sz w:val="24"/>
        </w:rPr>
        <w:t xml:space="preserve"> </w:t>
      </w:r>
    </w:p>
    <w:p w14:paraId="5B754D58">
      <w:pPr>
        <w:pStyle w:val="48"/>
        <w:numPr>
          <w:ilvl w:val="0"/>
          <w:numId w:val="1"/>
        </w:numPr>
        <w:adjustRightInd w:val="0"/>
        <w:snapToGrid w:val="0"/>
        <w:spacing w:line="360" w:lineRule="auto"/>
        <w:ind w:firstLineChars="0"/>
        <w:rPr>
          <w:rFonts w:cs="宋体" w:asciiTheme="minorEastAsia" w:hAnsiTheme="minorEastAsia" w:eastAsiaTheme="minorEastAsia"/>
          <w:color w:val="FF0000"/>
          <w:sz w:val="24"/>
          <w:lang w:bidi="en-US"/>
        </w:rPr>
      </w:pPr>
      <w:r>
        <w:rPr>
          <w:rFonts w:hint="eastAsia" w:cs="宋体" w:asciiTheme="minorEastAsia" w:hAnsiTheme="minorEastAsia" w:eastAsiaTheme="minorEastAsia"/>
          <w:bCs/>
          <w:color w:val="FF0000"/>
          <w:sz w:val="24"/>
        </w:rPr>
        <w:t>报价人不得修改</w:t>
      </w:r>
      <w:r>
        <w:rPr>
          <w:rFonts w:hint="eastAsia" w:cs="仿宋" w:asciiTheme="minorEastAsia" w:hAnsiTheme="minorEastAsia" w:eastAsiaTheme="minorEastAsia"/>
          <w:bCs/>
          <w:color w:val="FF0000"/>
          <w:sz w:val="24"/>
          <w:lang w:val="zh-CN" w:bidi="zh-CN"/>
        </w:rPr>
        <w:t>采购清单</w:t>
      </w:r>
      <w:r>
        <w:rPr>
          <w:rFonts w:hint="eastAsia" w:cs="宋体" w:asciiTheme="minorEastAsia" w:hAnsiTheme="minorEastAsia" w:eastAsiaTheme="minorEastAsia"/>
          <w:bCs/>
          <w:color w:val="FF0000"/>
          <w:sz w:val="24"/>
        </w:rPr>
        <w:t>中</w:t>
      </w:r>
      <w:r>
        <w:rPr>
          <w:rFonts w:hint="eastAsia" w:cs="宋体" w:asciiTheme="minorEastAsia" w:hAnsiTheme="minorEastAsia" w:eastAsiaTheme="minorEastAsia"/>
          <w:bCs/>
          <w:color w:val="FF0000"/>
          <w:sz w:val="24"/>
          <w:lang w:bidi="en-US"/>
        </w:rPr>
        <w:t>提供的数量，否则，报价将被否决</w:t>
      </w:r>
      <w:r>
        <w:rPr>
          <w:rFonts w:hint="eastAsia" w:cs="宋体" w:asciiTheme="minorEastAsia" w:hAnsiTheme="minorEastAsia" w:eastAsiaTheme="minorEastAsia"/>
          <w:color w:val="FF0000"/>
          <w:sz w:val="24"/>
          <w:lang w:bidi="en-US"/>
        </w:rPr>
        <w:t>；</w:t>
      </w:r>
    </w:p>
    <w:p w14:paraId="4F101C3A">
      <w:pPr>
        <w:pStyle w:val="48"/>
        <w:numPr>
          <w:ilvl w:val="0"/>
          <w:numId w:val="1"/>
        </w:numPr>
        <w:adjustRightInd w:val="0"/>
        <w:snapToGrid w:val="0"/>
        <w:spacing w:line="360" w:lineRule="auto"/>
        <w:ind w:firstLineChars="0"/>
        <w:rPr>
          <w:rFonts w:cs="宋体" w:asciiTheme="minorEastAsia" w:hAnsiTheme="minorEastAsia" w:eastAsiaTheme="minorEastAsia"/>
          <w:color w:val="FF0000"/>
          <w:sz w:val="24"/>
        </w:rPr>
      </w:pPr>
      <w:r>
        <w:rPr>
          <w:rFonts w:hint="eastAsia" w:ascii="宋体" w:hAnsi="宋体" w:cs="宋体"/>
          <w:color w:val="FF0000"/>
          <w:sz w:val="24"/>
        </w:rPr>
        <w:t>报价人不得弄虚作假，</w:t>
      </w:r>
      <w:r>
        <w:rPr>
          <w:rFonts w:hint="eastAsia" w:cs="宋体" w:asciiTheme="minorEastAsia" w:hAnsiTheme="minorEastAsia" w:eastAsiaTheme="minorEastAsia"/>
          <w:color w:val="FF0000"/>
          <w:kern w:val="0"/>
          <w:sz w:val="24"/>
        </w:rPr>
        <w:t>否则视为无效报价。</w:t>
      </w:r>
    </w:p>
    <w:p w14:paraId="5473AB2B">
      <w:pPr>
        <w:pStyle w:val="13"/>
        <w:rPr>
          <w:rFonts w:asciiTheme="minorEastAsia" w:hAnsiTheme="minorEastAsia" w:eastAsiaTheme="minorEastAsia"/>
          <w:color w:val="FF0000"/>
          <w:sz w:val="24"/>
          <w:szCs w:val="24"/>
        </w:rPr>
      </w:pPr>
    </w:p>
    <w:p w14:paraId="04A9F8FE">
      <w:pPr>
        <w:pStyle w:val="33"/>
        <w:widowControl/>
        <w:wordWrap w:val="0"/>
        <w:rPr>
          <w:rFonts w:ascii="宋体" w:hAnsi="宋体" w:eastAsia="宋体" w:cs="宋体"/>
        </w:rPr>
      </w:pPr>
      <w:r>
        <w:rPr>
          <w:rFonts w:hint="eastAsia" w:ascii="宋体" w:hAnsi="宋体" w:eastAsia="宋体" w:cs="宋体"/>
        </w:rPr>
        <w:t xml:space="preserve">联系人：谢旭东 </w:t>
      </w:r>
    </w:p>
    <w:p w14:paraId="667FBC1C">
      <w:pPr>
        <w:spacing w:line="360" w:lineRule="auto"/>
        <w:rPr>
          <w:rFonts w:ascii="宋体" w:hAnsi="宋体" w:cs="宋体"/>
          <w:kern w:val="0"/>
          <w:sz w:val="24"/>
        </w:rPr>
      </w:pPr>
      <w:r>
        <w:rPr>
          <w:rFonts w:hint="eastAsia" w:ascii="宋体" w:hAnsi="宋体" w:cs="宋体"/>
          <w:kern w:val="0"/>
          <w:sz w:val="24"/>
        </w:rPr>
        <w:t>联系电话：13852384822</w:t>
      </w:r>
    </w:p>
    <w:p w14:paraId="5465E2BB">
      <w:pPr>
        <w:spacing w:line="360" w:lineRule="auto"/>
        <w:rPr>
          <w:rFonts w:ascii="宋体" w:hAnsi="宋体" w:cs="宋体"/>
          <w:sz w:val="24"/>
        </w:rPr>
      </w:pPr>
      <w:r>
        <w:rPr>
          <w:rFonts w:hint="eastAsia" w:ascii="宋体" w:hAnsi="宋体" w:cs="宋体"/>
          <w:sz w:val="24"/>
        </w:rPr>
        <w:t>地  址：江苏省淮安市淮安区井神路1号       邮  编：223200</w:t>
      </w:r>
    </w:p>
    <w:p w14:paraId="29AF2EEC">
      <w:pPr>
        <w:ind w:firstLine="5040" w:firstLineChars="2100"/>
        <w:rPr>
          <w:rFonts w:ascii="宋体" w:hAnsi="宋体" w:cs="宋体"/>
          <w:sz w:val="24"/>
        </w:rPr>
      </w:pPr>
    </w:p>
    <w:p w14:paraId="3C4191B9">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5976E494">
      <w:pPr>
        <w:rPr>
          <w:rFonts w:ascii="宋体" w:hAnsi="宋体" w:cs="宋体"/>
          <w:sz w:val="24"/>
        </w:rPr>
      </w:pPr>
      <w:r>
        <w:rPr>
          <w:rFonts w:hint="eastAsia" w:ascii="宋体" w:hAnsi="宋体" w:cs="宋体"/>
          <w:sz w:val="24"/>
        </w:rPr>
        <w:t xml:space="preserve">                                                      </w:t>
      </w:r>
    </w:p>
    <w:p w14:paraId="7F24DA10">
      <w:pPr>
        <w:ind w:firstLine="6240" w:firstLineChars="2600"/>
        <w:rPr>
          <w:rFonts w:ascii="仿宋_GB2312" w:hAnsi="仿宋_GB2312"/>
          <w:sz w:val="24"/>
        </w:rPr>
      </w:pPr>
      <w:r>
        <w:rPr>
          <w:rFonts w:hint="eastAsia" w:ascii="宋体" w:hAnsi="宋体" w:cs="宋体"/>
          <w:sz w:val="24"/>
        </w:rPr>
        <w:t>2024年 9月</w:t>
      </w:r>
      <w:r>
        <w:rPr>
          <w:rFonts w:hint="eastAsia" w:ascii="宋体" w:hAnsi="宋体" w:cs="宋体"/>
          <w:sz w:val="24"/>
          <w:lang w:val="en-US" w:eastAsia="zh-CN"/>
        </w:rPr>
        <w:t>25</w:t>
      </w:r>
      <w:r>
        <w:rPr>
          <w:rFonts w:hint="eastAsia" w:ascii="宋体" w:hAnsi="宋体" w:cs="宋体"/>
          <w:sz w:val="24"/>
        </w:rPr>
        <w:t>日</w:t>
      </w:r>
    </w:p>
    <w:p w14:paraId="22CE0043">
      <w:pPr>
        <w:adjustRightInd w:val="0"/>
        <w:snapToGrid w:val="0"/>
        <w:spacing w:line="300" w:lineRule="auto"/>
        <w:ind w:firstLine="420" w:firstLineChars="200"/>
        <w:rPr>
          <w:rFonts w:cs="仿宋"/>
        </w:rPr>
      </w:pPr>
      <w:bookmarkStart w:id="0" w:name="_Toc399159413"/>
      <w:bookmarkStart w:id="1" w:name="_Toc399158923"/>
      <w:bookmarkStart w:id="2" w:name="_Toc399159027"/>
    </w:p>
    <w:p w14:paraId="3F9E7845">
      <w:pPr>
        <w:spacing w:line="360" w:lineRule="auto"/>
        <w:rPr>
          <w:rFonts w:ascii="仿宋" w:hAnsi="仿宋" w:eastAsia="仿宋" w:cs="仿宋"/>
          <w:b/>
          <w:bCs/>
          <w:sz w:val="28"/>
          <w:szCs w:val="28"/>
        </w:rPr>
      </w:pPr>
    </w:p>
    <w:p w14:paraId="052BF4C5">
      <w:pPr>
        <w:spacing w:line="360" w:lineRule="auto"/>
        <w:rPr>
          <w:rFonts w:ascii="仿宋" w:hAnsi="仿宋" w:eastAsia="仿宋" w:cs="仿宋"/>
          <w:b/>
          <w:bCs/>
          <w:sz w:val="28"/>
          <w:szCs w:val="28"/>
        </w:rPr>
      </w:pPr>
    </w:p>
    <w:p w14:paraId="00176078">
      <w:pPr>
        <w:spacing w:line="360" w:lineRule="auto"/>
        <w:rPr>
          <w:rFonts w:ascii="仿宋" w:hAnsi="仿宋" w:eastAsia="仿宋" w:cs="仿宋"/>
          <w:b/>
          <w:bCs/>
          <w:sz w:val="28"/>
          <w:szCs w:val="28"/>
        </w:rPr>
      </w:pPr>
    </w:p>
    <w:p w14:paraId="0BF15676">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1F12132B">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7339EBB9">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3289F5F">
      <w:pPr>
        <w:tabs>
          <w:tab w:val="left" w:pos="616"/>
        </w:tabs>
        <w:jc w:val="center"/>
        <w:rPr>
          <w:rFonts w:ascii="宋体" w:hAnsi="宋体"/>
          <w:szCs w:val="28"/>
        </w:rPr>
      </w:pPr>
      <w:r>
        <w:rPr>
          <w:rFonts w:hint="eastAsia" w:ascii="宋体" w:hAnsi="宋体"/>
          <w:szCs w:val="28"/>
        </w:rPr>
        <w:t>资格审查的合格条件</w:t>
      </w:r>
    </w:p>
    <w:tbl>
      <w:tblPr>
        <w:tblStyle w:val="3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4ED16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6B288584">
            <w:pPr>
              <w:pStyle w:val="4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3BCE0D00">
            <w:pPr>
              <w:pStyle w:val="4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6B50EFF8">
            <w:pPr>
              <w:pStyle w:val="4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3FD75583">
            <w:pPr>
              <w:pStyle w:val="4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89A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6BEED27">
            <w:pPr>
              <w:pStyle w:val="4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51A3FE2D">
            <w:pPr>
              <w:adjustRightInd w:val="0"/>
              <w:snapToGrid w:val="0"/>
              <w:spacing w:line="360" w:lineRule="auto"/>
              <w:ind w:firstLine="420" w:firstLineChars="200"/>
              <w:rPr>
                <w:rFonts w:ascii="宋体" w:hAnsi="宋体" w:cs="宋体"/>
                <w:color w:val="0D0D0D"/>
              </w:rPr>
            </w:pPr>
            <w:r>
              <w:rPr>
                <w:rFonts w:ascii="宋体" w:hAnsi="宋体"/>
                <w:szCs w:val="21"/>
              </w:rPr>
              <w:t>具有独立法人资格的制造商</w:t>
            </w:r>
            <w:r>
              <w:rPr>
                <w:rFonts w:hint="eastAsia" w:ascii="宋体" w:hAnsi="宋体" w:cs="宋体"/>
                <w:color w:val="0D0D0D"/>
              </w:rPr>
              <w:t>或经销商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rPr>
              <w:t>（</w:t>
            </w:r>
            <w:r>
              <w:rPr>
                <w:rFonts w:hint="eastAsia" w:ascii="宋体" w:hAnsi="宋体" w:cs="宋体"/>
                <w:color w:val="0D0D0D"/>
              </w:rPr>
              <w:t>提供加盖公章的复印件，原件备查。）</w:t>
            </w:r>
          </w:p>
        </w:tc>
        <w:tc>
          <w:tcPr>
            <w:tcW w:w="3187" w:type="dxa"/>
            <w:vAlign w:val="center"/>
          </w:tcPr>
          <w:p w14:paraId="59466CBE">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6169463D">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6E7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6E904016">
            <w:pPr>
              <w:pStyle w:val="4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F7943B6">
            <w:pPr>
              <w:adjustRightInd w:val="0"/>
              <w:snapToGrid w:val="0"/>
              <w:spacing w:line="400" w:lineRule="exact"/>
              <w:rPr>
                <w:rFonts w:ascii="宋体" w:hAnsi="宋体"/>
                <w:szCs w:val="21"/>
                <w:highlight w:val="yellow"/>
              </w:rPr>
            </w:pPr>
            <w:r>
              <w:rPr>
                <w:rFonts w:hint="eastAsia" w:ascii="宋体" w:hAnsi="宋体" w:cs="宋体"/>
              </w:rPr>
              <w:t>报价人法定代表人授权委托书。</w:t>
            </w:r>
          </w:p>
        </w:tc>
        <w:tc>
          <w:tcPr>
            <w:tcW w:w="3187" w:type="dxa"/>
            <w:vAlign w:val="center"/>
          </w:tcPr>
          <w:p w14:paraId="3B21F478">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68C8165B">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99BA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57AE7580">
            <w:pPr>
              <w:pStyle w:val="4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026ACE73">
            <w:pPr>
              <w:adjustRightInd w:val="0"/>
              <w:snapToGrid w:val="0"/>
              <w:spacing w:line="400" w:lineRule="exact"/>
              <w:rPr>
                <w:rFonts w:ascii="宋体" w:hAnsi="宋体"/>
                <w:szCs w:val="21"/>
                <w:highlight w:val="yellow"/>
              </w:rPr>
            </w:pPr>
            <w:r>
              <w:rPr>
                <w:rFonts w:hint="eastAsia" w:ascii="宋体" w:hAnsi="宋体" w:cs="宋体"/>
                <w:bCs/>
              </w:rPr>
              <w:t>具有所供阀门制造商的相关资质证明文件，</w:t>
            </w:r>
            <w:r>
              <w:rPr>
                <w:rFonts w:hint="eastAsia" w:ascii="宋体" w:hAnsi="宋体" w:cs="宋体"/>
                <w:spacing w:val="20"/>
                <w:lang w:val="zh-CN"/>
              </w:rPr>
              <w:t>国家颁发的生产许可证，</w:t>
            </w:r>
            <w:r>
              <w:rPr>
                <w:rFonts w:hint="eastAsia" w:ascii="宋体" w:hAnsi="宋体" w:cs="宋体"/>
                <w:bCs/>
              </w:rPr>
              <w:t>ISO质量管理体系认证证书。</w:t>
            </w:r>
          </w:p>
        </w:tc>
        <w:tc>
          <w:tcPr>
            <w:tcW w:w="3187" w:type="dxa"/>
            <w:vAlign w:val="center"/>
          </w:tcPr>
          <w:p w14:paraId="32DBC37C">
            <w:pPr>
              <w:pStyle w:val="49"/>
              <w:widowControl/>
              <w:spacing w:line="330" w:lineRule="exact"/>
              <w:rPr>
                <w:rFonts w:ascii="宋体" w:hAnsi="宋体"/>
                <w:kern w:val="0"/>
                <w:szCs w:val="21"/>
              </w:rPr>
            </w:pPr>
            <w:r>
              <w:rPr>
                <w:rFonts w:hint="eastAsia" w:ascii="宋体" w:hAnsi="宋体" w:cs="宋体"/>
                <w:szCs w:val="21"/>
              </w:rPr>
              <w:t>提供加盖公章的证书复印件</w:t>
            </w:r>
          </w:p>
        </w:tc>
        <w:tc>
          <w:tcPr>
            <w:tcW w:w="2425" w:type="dxa"/>
            <w:vAlign w:val="center"/>
          </w:tcPr>
          <w:p w14:paraId="4375ED40">
            <w:pPr>
              <w:adjustRightInd w:val="0"/>
              <w:snapToGrid w:val="0"/>
              <w:spacing w:line="400" w:lineRule="exact"/>
              <w:rPr>
                <w:rFonts w:ascii="宋体" w:hAnsi="宋体"/>
                <w:b/>
                <w:bCs/>
                <w:szCs w:val="21"/>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r w14:paraId="0DCE1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1D4B7CE">
            <w:pPr>
              <w:pStyle w:val="49"/>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712C7ABE">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人必须提供近三年（2021年6月30日起至2024年6月30日止）与本次询价</w:t>
            </w:r>
            <w:r>
              <w:rPr>
                <w:rFonts w:hint="eastAsia" w:asciiTheme="minorEastAsia" w:hAnsiTheme="minorEastAsia" w:eastAsiaTheme="minorEastAsia"/>
                <w:szCs w:val="21"/>
              </w:rPr>
              <w:t>电动闸阀</w:t>
            </w:r>
            <w:r>
              <w:rPr>
                <w:rFonts w:hint="eastAsia" w:ascii="宋体" w:hAnsi="宋体" w:cs="宋体"/>
                <w:bCs/>
              </w:rPr>
              <w:t>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2754EB05">
            <w:pPr>
              <w:pStyle w:val="4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236E849">
            <w:pPr>
              <w:pStyle w:val="4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F1C0A2D">
      <w:pPr>
        <w:pStyle w:val="4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2AE1AD2D">
      <w:pPr>
        <w:pStyle w:val="48"/>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3BB84C70">
      <w:pPr>
        <w:spacing w:line="360" w:lineRule="exact"/>
        <w:rPr>
          <w:rFonts w:ascii="宋体" w:hAnsi="宋体"/>
          <w:szCs w:val="21"/>
        </w:rPr>
      </w:pPr>
      <w:r>
        <w:rPr>
          <w:rFonts w:hint="eastAsia" w:ascii="宋体" w:hAnsi="宋体"/>
          <w:szCs w:val="21"/>
        </w:rPr>
        <w:t xml:space="preserve">        2、本项目不接受联合体报价。</w:t>
      </w:r>
    </w:p>
    <w:p w14:paraId="6A4BA95F">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16981B7">
      <w:pPr>
        <w:spacing w:line="360" w:lineRule="exact"/>
        <w:rPr>
          <w:rFonts w:ascii="宋体" w:hAnsi="宋体"/>
          <w:b/>
          <w:bCs/>
          <w:szCs w:val="21"/>
        </w:rPr>
      </w:pPr>
    </w:p>
    <w:p w14:paraId="16D6E8AD">
      <w:pPr>
        <w:pStyle w:val="13"/>
      </w:pPr>
    </w:p>
    <w:p w14:paraId="29FF4FB6">
      <w:pPr>
        <w:adjustRightInd w:val="0"/>
        <w:snapToGrid w:val="0"/>
        <w:spacing w:line="300" w:lineRule="auto"/>
        <w:rPr>
          <w:rFonts w:ascii="宋体" w:hAnsi="宋体" w:cs="宋体"/>
          <w:b/>
          <w:bCs/>
          <w:sz w:val="24"/>
        </w:rPr>
      </w:pPr>
    </w:p>
    <w:p w14:paraId="1975A329">
      <w:pPr>
        <w:spacing w:line="360" w:lineRule="auto"/>
        <w:rPr>
          <w:rFonts w:ascii="仿宋" w:hAnsi="仿宋" w:eastAsia="仿宋" w:cs="仿宋"/>
          <w:b/>
          <w:bCs/>
          <w:sz w:val="28"/>
          <w:szCs w:val="28"/>
        </w:rPr>
      </w:pPr>
    </w:p>
    <w:p w14:paraId="6D201A5C">
      <w:pPr>
        <w:adjustRightInd w:val="0"/>
        <w:snapToGrid w:val="0"/>
        <w:spacing w:line="300" w:lineRule="auto"/>
        <w:ind w:firstLine="420" w:firstLineChars="200"/>
        <w:rPr>
          <w:rFonts w:cs="仿宋"/>
          <w:color w:val="FF0000"/>
          <w:szCs w:val="32"/>
        </w:rPr>
      </w:pPr>
    </w:p>
    <w:p w14:paraId="25A43CDF">
      <w:pPr>
        <w:adjustRightInd w:val="0"/>
        <w:snapToGrid w:val="0"/>
        <w:spacing w:line="300" w:lineRule="auto"/>
        <w:ind w:firstLine="420" w:firstLineChars="200"/>
        <w:rPr>
          <w:rFonts w:cs="仿宋"/>
          <w:color w:val="FF0000"/>
          <w:szCs w:val="32"/>
        </w:rPr>
      </w:pPr>
    </w:p>
    <w:p w14:paraId="2775FFAC">
      <w:pPr>
        <w:adjustRightInd w:val="0"/>
        <w:snapToGrid w:val="0"/>
        <w:spacing w:line="300" w:lineRule="auto"/>
        <w:rPr>
          <w:rFonts w:cs="仿宋"/>
          <w:color w:val="FF0000"/>
          <w:szCs w:val="32"/>
        </w:rPr>
      </w:pPr>
      <w:r>
        <w:rPr>
          <w:rFonts w:hint="eastAsia" w:cs="仿宋"/>
          <w:color w:val="FF0000"/>
          <w:szCs w:val="32"/>
        </w:rPr>
        <w:t>附件二、评标办法及评分细则</w:t>
      </w:r>
    </w:p>
    <w:p w14:paraId="23D94D0D">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7EEC6BB6">
      <w:pPr>
        <w:spacing w:line="500" w:lineRule="exact"/>
        <w:rPr>
          <w:rFonts w:ascii="宋体" w:hAnsi="宋体" w:cs="宋体"/>
          <w:b/>
          <w:bCs/>
        </w:rPr>
      </w:pPr>
      <w:r>
        <w:rPr>
          <w:rFonts w:hint="eastAsia" w:ascii="宋体" w:hAnsi="宋体" w:cs="宋体"/>
          <w:b/>
          <w:bCs/>
        </w:rPr>
        <w:t>3.1报价价格的合理性，主要对报价价格进行评价（满分94分）</w:t>
      </w:r>
    </w:p>
    <w:p w14:paraId="343EF103">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2BC17B22">
      <w:pPr>
        <w:spacing w:line="500" w:lineRule="exact"/>
        <w:rPr>
          <w:rFonts w:ascii="宋体" w:hAnsi="宋体" w:cs="宋体"/>
          <w:b/>
          <w:bCs/>
        </w:rPr>
      </w:pPr>
      <w:r>
        <w:rPr>
          <w:rFonts w:hint="eastAsia" w:ascii="宋体" w:hAnsi="宋体" w:cs="宋体"/>
          <w:b/>
          <w:bCs/>
        </w:rPr>
        <w:t>3.2 技术业绩部分（满分4分）</w:t>
      </w:r>
    </w:p>
    <w:p w14:paraId="3A1FF75F">
      <w:pPr>
        <w:spacing w:line="360" w:lineRule="exact"/>
        <w:rPr>
          <w:rFonts w:ascii="宋体" w:hAnsi="宋体"/>
        </w:rPr>
      </w:pPr>
      <w:r>
        <w:rPr>
          <w:rFonts w:hint="eastAsia"/>
          <w:bCs/>
          <w:color w:val="FF0000"/>
          <w:szCs w:val="21"/>
        </w:rPr>
        <w:t>投标人提供近三年（2021年6月30日起至2024年6月30日止）单份合同金额在人民币20万元以上与本次比选</w:t>
      </w:r>
      <w:r>
        <w:rPr>
          <w:rFonts w:hint="eastAsia" w:asciiTheme="minorEastAsia" w:hAnsiTheme="minorEastAsia" w:eastAsiaTheme="minorEastAsia"/>
          <w:szCs w:val="21"/>
        </w:rPr>
        <w:t>电动闸阀</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提供有效业绩在10份及以上，得4分；提供有效业绩在5份（含）以上，10份以下，得2分；</w:t>
      </w:r>
      <w:r>
        <w:rPr>
          <w:rFonts w:hint="eastAsia" w:ascii="宋体" w:hAnsi="宋体" w:cs="Arial"/>
        </w:rPr>
        <w:t>（在我公司电动阀类合格供应商的业绩分满分）。</w:t>
      </w:r>
    </w:p>
    <w:p w14:paraId="2C4A1454">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6F8B4C57">
      <w:pPr>
        <w:spacing w:line="500" w:lineRule="exact"/>
        <w:rPr>
          <w:rFonts w:ascii="宋体" w:hAnsi="宋体" w:cs="宋体"/>
          <w:b/>
          <w:bCs/>
        </w:rPr>
      </w:pPr>
      <w:r>
        <w:rPr>
          <w:rFonts w:hint="eastAsia" w:ascii="宋体" w:hAnsi="宋体" w:cs="宋体"/>
          <w:b/>
          <w:bCs/>
        </w:rPr>
        <w:t>3.3  商务部分（满分2分）</w:t>
      </w:r>
    </w:p>
    <w:p w14:paraId="72D4578F">
      <w:pPr>
        <w:spacing w:line="360" w:lineRule="exact"/>
        <w:rPr>
          <w:rFonts w:ascii="宋体" w:hAnsi="宋体"/>
          <w:color w:val="FF0000"/>
        </w:rPr>
      </w:pPr>
      <w:r>
        <w:rPr>
          <w:rFonts w:hint="eastAsia" w:ascii="宋体" w:hAnsi="宋体" w:cs="宋体"/>
        </w:rPr>
        <w:t>3.3.1售后服务好的（包括响应时间、服务内容等），得2分。</w:t>
      </w:r>
      <w:r>
        <w:rPr>
          <w:rFonts w:hint="eastAsia" w:ascii="宋体" w:hAnsi="宋体" w:cs="Arial"/>
          <w:color w:val="FF0000"/>
        </w:rPr>
        <w:t>（在我公司电动阀类合格供应商的</w:t>
      </w:r>
      <w:r>
        <w:rPr>
          <w:rFonts w:hint="eastAsia" w:ascii="宋体" w:hAnsi="宋体" w:cs="宋体"/>
          <w:color w:val="FF0000"/>
        </w:rPr>
        <w:t>售后服务</w:t>
      </w:r>
      <w:r>
        <w:rPr>
          <w:rFonts w:hint="eastAsia" w:ascii="宋体" w:hAnsi="宋体" w:cs="Arial"/>
          <w:color w:val="FF0000"/>
        </w:rPr>
        <w:t>满分）。</w:t>
      </w:r>
    </w:p>
    <w:p w14:paraId="303D120D">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0829A124">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12B58D8C">
      <w:pPr>
        <w:spacing w:line="360" w:lineRule="auto"/>
        <w:rPr>
          <w:rFonts w:ascii="仿宋" w:hAnsi="仿宋" w:eastAsia="仿宋" w:cs="仿宋"/>
          <w:b/>
          <w:bCs/>
          <w:sz w:val="28"/>
          <w:szCs w:val="28"/>
        </w:rPr>
      </w:pPr>
    </w:p>
    <w:p w14:paraId="3BA1AC7B">
      <w:pPr>
        <w:spacing w:line="360" w:lineRule="auto"/>
        <w:rPr>
          <w:rFonts w:ascii="仿宋" w:hAnsi="仿宋" w:eastAsia="仿宋" w:cs="仿宋"/>
          <w:b/>
          <w:bCs/>
          <w:sz w:val="28"/>
          <w:szCs w:val="28"/>
        </w:rPr>
      </w:pPr>
    </w:p>
    <w:p w14:paraId="55B1AA8D">
      <w:pPr>
        <w:spacing w:line="360" w:lineRule="auto"/>
        <w:rPr>
          <w:rFonts w:ascii="仿宋" w:hAnsi="仿宋" w:eastAsia="仿宋" w:cs="仿宋"/>
          <w:b/>
          <w:bCs/>
          <w:sz w:val="28"/>
          <w:szCs w:val="28"/>
        </w:rPr>
      </w:pPr>
    </w:p>
    <w:p w14:paraId="0915F28B">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5CDC6DEA">
      <w:pPr>
        <w:ind w:firstLine="3465" w:firstLineChars="1650"/>
        <w:rPr>
          <w:rFonts w:ascii="宋体" w:hAnsi="宋体" w:cs="宋体"/>
          <w:b/>
          <w:bCs/>
        </w:rPr>
      </w:pPr>
      <w:r>
        <w:rPr>
          <w:rFonts w:hint="eastAsia"/>
        </w:rPr>
        <w:t>买卖合同</w:t>
      </w:r>
    </w:p>
    <w:p w14:paraId="125FF36C">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1AE6151D">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36"/>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22D4F4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7226B97">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273CFF4E">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E1323EE">
            <w:pPr>
              <w:spacing w:line="320" w:lineRule="exact"/>
              <w:jc w:val="center"/>
              <w:rPr>
                <w:rFonts w:ascii="宋体" w:hAnsi="宋体"/>
                <w:szCs w:val="21"/>
              </w:rPr>
            </w:pPr>
            <w:r>
              <w:rPr>
                <w:rFonts w:hint="eastAsia" w:ascii="宋体" w:hAnsi="宋体"/>
                <w:szCs w:val="21"/>
              </w:rPr>
              <w:t>牌号</w:t>
            </w:r>
          </w:p>
          <w:p w14:paraId="55528F70">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5BD89FFF">
            <w:pPr>
              <w:spacing w:line="320" w:lineRule="exact"/>
              <w:jc w:val="center"/>
              <w:rPr>
                <w:rFonts w:ascii="宋体" w:hAnsi="宋体"/>
                <w:szCs w:val="21"/>
              </w:rPr>
            </w:pPr>
            <w:r>
              <w:rPr>
                <w:rFonts w:hint="eastAsia" w:ascii="宋体" w:hAnsi="宋体"/>
                <w:szCs w:val="21"/>
              </w:rPr>
              <w:t>计量</w:t>
            </w:r>
          </w:p>
          <w:p w14:paraId="2CAD200F">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04254797">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1F88F2B5">
            <w:pPr>
              <w:spacing w:line="320" w:lineRule="exact"/>
              <w:jc w:val="center"/>
              <w:rPr>
                <w:rFonts w:ascii="宋体" w:hAnsi="宋体"/>
                <w:szCs w:val="21"/>
              </w:rPr>
            </w:pPr>
            <w:r>
              <w:rPr>
                <w:rFonts w:hint="eastAsia" w:ascii="宋体" w:hAnsi="宋体"/>
                <w:szCs w:val="21"/>
              </w:rPr>
              <w:t>单价</w:t>
            </w:r>
          </w:p>
          <w:p w14:paraId="5770F277">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5E843CB9">
            <w:pPr>
              <w:spacing w:line="320" w:lineRule="exact"/>
              <w:jc w:val="center"/>
              <w:rPr>
                <w:rFonts w:ascii="宋体" w:hAnsi="宋体"/>
                <w:szCs w:val="21"/>
              </w:rPr>
            </w:pPr>
            <w:r>
              <w:rPr>
                <w:rFonts w:hint="eastAsia" w:ascii="宋体" w:hAnsi="宋体"/>
                <w:szCs w:val="21"/>
              </w:rPr>
              <w:t>金额</w:t>
            </w:r>
          </w:p>
          <w:p w14:paraId="6B714F80">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211A1F0">
            <w:pPr>
              <w:spacing w:line="320" w:lineRule="exact"/>
              <w:jc w:val="center"/>
              <w:rPr>
                <w:rFonts w:ascii="宋体" w:hAnsi="宋体"/>
                <w:szCs w:val="21"/>
              </w:rPr>
            </w:pPr>
            <w:r>
              <w:rPr>
                <w:rFonts w:hint="eastAsia" w:ascii="宋体" w:hAnsi="宋体"/>
                <w:szCs w:val="21"/>
              </w:rPr>
              <w:t>备注</w:t>
            </w:r>
          </w:p>
        </w:tc>
      </w:tr>
      <w:tr w14:paraId="69DF1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30E63DBC">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781685A3">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24F1253F">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2150386E">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252AE049">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53B06982">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5453BD15">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751A274E">
            <w:pPr>
              <w:jc w:val="center"/>
              <w:rPr>
                <w:rFonts w:ascii="宋体" w:hAnsi="宋体" w:cs="宋体"/>
                <w:sz w:val="18"/>
                <w:szCs w:val="18"/>
              </w:rPr>
            </w:pPr>
          </w:p>
        </w:tc>
      </w:tr>
      <w:tr w14:paraId="5A76B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1D1B2928">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46ECA578">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01D8D48F">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3AB4A645">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6A0F14F3">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02627C09">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64802998">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75E6DA5D">
            <w:pPr>
              <w:jc w:val="center"/>
              <w:rPr>
                <w:rFonts w:ascii="宋体" w:hAnsi="宋体" w:cs="宋体"/>
                <w:sz w:val="18"/>
                <w:szCs w:val="18"/>
              </w:rPr>
            </w:pPr>
          </w:p>
        </w:tc>
      </w:tr>
      <w:tr w14:paraId="03F8C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6830A5BC">
            <w:pPr>
              <w:spacing w:line="320" w:lineRule="exact"/>
              <w:rPr>
                <w:rFonts w:ascii="宋体" w:hAnsi="宋体"/>
                <w:szCs w:val="21"/>
              </w:rPr>
            </w:pPr>
            <w:r>
              <w:rPr>
                <w:rFonts w:hint="eastAsia" w:ascii="宋体" w:hAnsi="宋体"/>
                <w:szCs w:val="21"/>
              </w:rPr>
              <w:t>合计（小写）：</w:t>
            </w:r>
          </w:p>
          <w:p w14:paraId="256690A9">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2F52E5D0">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12523D36">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064BBF1F">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70480D9A">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交货地点：江苏苏盐井神股份有限公司二分公司库区。</w:t>
      </w:r>
    </w:p>
    <w:p w14:paraId="12B1C849">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61C9B19B">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6C49E025">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326EF3E1">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6A196418">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3911D9F3">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4F823C45">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C0DC71A">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014658DE">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3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5A2B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7752F863">
            <w:pPr>
              <w:spacing w:line="360" w:lineRule="auto"/>
              <w:jc w:val="center"/>
              <w:rPr>
                <w:rFonts w:ascii="宋体" w:hAnsi="宋体"/>
                <w:szCs w:val="21"/>
              </w:rPr>
            </w:pPr>
            <w:r>
              <w:rPr>
                <w:rFonts w:hint="eastAsia" w:ascii="宋体" w:hAnsi="宋体"/>
                <w:szCs w:val="21"/>
              </w:rPr>
              <w:t>出卖人</w:t>
            </w:r>
          </w:p>
          <w:p w14:paraId="370A73A8">
            <w:pPr>
              <w:spacing w:line="360" w:lineRule="auto"/>
              <w:rPr>
                <w:rFonts w:ascii="宋体" w:hAnsi="宋体"/>
                <w:szCs w:val="21"/>
              </w:rPr>
            </w:pPr>
            <w:r>
              <w:rPr>
                <w:rFonts w:hint="eastAsia" w:ascii="宋体" w:hAnsi="宋体"/>
                <w:szCs w:val="21"/>
              </w:rPr>
              <w:t>单位名称（章）：</w:t>
            </w:r>
          </w:p>
          <w:p w14:paraId="3C542BCB">
            <w:pPr>
              <w:autoSpaceDE w:val="0"/>
              <w:autoSpaceDN w:val="0"/>
              <w:adjustRightInd w:val="0"/>
              <w:spacing w:line="360" w:lineRule="auto"/>
              <w:rPr>
                <w:rFonts w:ascii="宋体" w:hAnsi="宋体"/>
                <w:szCs w:val="21"/>
              </w:rPr>
            </w:pPr>
            <w:r>
              <w:rPr>
                <w:rFonts w:hint="eastAsia" w:ascii="宋体" w:hAnsi="宋体"/>
                <w:szCs w:val="21"/>
              </w:rPr>
              <w:t>单位地址：</w:t>
            </w:r>
          </w:p>
          <w:p w14:paraId="24D7B6AF">
            <w:pPr>
              <w:spacing w:line="360" w:lineRule="auto"/>
              <w:rPr>
                <w:rFonts w:ascii="宋体" w:hAnsi="宋体"/>
                <w:szCs w:val="21"/>
              </w:rPr>
            </w:pPr>
            <w:r>
              <w:rPr>
                <w:rFonts w:hint="eastAsia" w:ascii="宋体" w:hAnsi="宋体"/>
                <w:szCs w:val="21"/>
              </w:rPr>
              <w:t>法定代表人：</w:t>
            </w:r>
          </w:p>
          <w:p w14:paraId="1F0053CD">
            <w:pPr>
              <w:spacing w:line="360" w:lineRule="auto"/>
              <w:ind w:right="-107" w:rightChars="-51"/>
              <w:rPr>
                <w:rFonts w:ascii="宋体" w:hAnsi="宋体"/>
                <w:szCs w:val="21"/>
              </w:rPr>
            </w:pPr>
            <w:r>
              <w:rPr>
                <w:rFonts w:hint="eastAsia" w:ascii="宋体" w:hAnsi="宋体"/>
                <w:szCs w:val="21"/>
              </w:rPr>
              <w:t>委托代理人：</w:t>
            </w:r>
          </w:p>
          <w:p w14:paraId="10010BD5">
            <w:pPr>
              <w:spacing w:line="360" w:lineRule="auto"/>
              <w:rPr>
                <w:rFonts w:ascii="宋体" w:hAnsi="宋体"/>
                <w:szCs w:val="21"/>
              </w:rPr>
            </w:pPr>
            <w:r>
              <w:rPr>
                <w:rFonts w:hint="eastAsia" w:ascii="宋体" w:hAnsi="宋体"/>
                <w:szCs w:val="21"/>
              </w:rPr>
              <w:t>电话：</w:t>
            </w:r>
          </w:p>
          <w:p w14:paraId="3D2C5E12">
            <w:pPr>
              <w:spacing w:line="360" w:lineRule="auto"/>
              <w:rPr>
                <w:rFonts w:ascii="宋体" w:hAnsi="宋体"/>
                <w:szCs w:val="21"/>
              </w:rPr>
            </w:pPr>
            <w:r>
              <w:rPr>
                <w:rFonts w:hint="eastAsia" w:ascii="宋体" w:hAnsi="宋体"/>
                <w:szCs w:val="21"/>
              </w:rPr>
              <w:t>传真：</w:t>
            </w:r>
          </w:p>
          <w:p w14:paraId="0E2643FB">
            <w:pPr>
              <w:spacing w:line="360" w:lineRule="auto"/>
              <w:rPr>
                <w:rFonts w:ascii="宋体" w:hAnsi="宋体"/>
                <w:szCs w:val="21"/>
              </w:rPr>
            </w:pPr>
            <w:r>
              <w:rPr>
                <w:rFonts w:hint="eastAsia" w:ascii="宋体" w:hAnsi="宋体"/>
                <w:szCs w:val="21"/>
              </w:rPr>
              <w:t>税号：</w:t>
            </w:r>
          </w:p>
          <w:p w14:paraId="2D37417E">
            <w:pPr>
              <w:autoSpaceDE w:val="0"/>
              <w:autoSpaceDN w:val="0"/>
              <w:adjustRightInd w:val="0"/>
              <w:spacing w:line="360" w:lineRule="auto"/>
              <w:rPr>
                <w:rFonts w:ascii="宋体" w:hAnsi="宋体"/>
                <w:szCs w:val="21"/>
              </w:rPr>
            </w:pPr>
            <w:r>
              <w:rPr>
                <w:rFonts w:hint="eastAsia" w:ascii="宋体" w:hAnsi="宋体"/>
                <w:szCs w:val="21"/>
              </w:rPr>
              <w:t>开户银行：</w:t>
            </w:r>
          </w:p>
          <w:p w14:paraId="64615EFB">
            <w:pPr>
              <w:spacing w:line="360" w:lineRule="auto"/>
              <w:rPr>
                <w:rFonts w:ascii="宋体" w:hAnsi="宋体"/>
                <w:szCs w:val="21"/>
              </w:rPr>
            </w:pPr>
            <w:r>
              <w:rPr>
                <w:rFonts w:hint="eastAsia" w:ascii="宋体" w:hAnsi="宋体"/>
                <w:szCs w:val="21"/>
              </w:rPr>
              <w:t>帐号：</w:t>
            </w:r>
          </w:p>
          <w:p w14:paraId="583E8012">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28B063BA">
            <w:pPr>
              <w:spacing w:line="360" w:lineRule="auto"/>
              <w:ind w:left="840" w:hanging="840" w:hangingChars="400"/>
              <w:jc w:val="center"/>
              <w:rPr>
                <w:rFonts w:ascii="宋体" w:hAnsi="宋体"/>
                <w:szCs w:val="21"/>
              </w:rPr>
            </w:pPr>
            <w:r>
              <w:rPr>
                <w:rFonts w:hint="eastAsia" w:ascii="宋体" w:hAnsi="宋体"/>
                <w:szCs w:val="21"/>
              </w:rPr>
              <w:t>买受人</w:t>
            </w:r>
          </w:p>
          <w:p w14:paraId="7D5227DD">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6435D7C9">
            <w:pPr>
              <w:spacing w:line="360" w:lineRule="auto"/>
              <w:rPr>
                <w:rFonts w:ascii="宋体" w:hAnsi="宋体"/>
                <w:szCs w:val="21"/>
              </w:rPr>
            </w:pPr>
            <w:r>
              <w:rPr>
                <w:rFonts w:hint="eastAsia" w:ascii="宋体" w:hAnsi="宋体"/>
                <w:szCs w:val="21"/>
              </w:rPr>
              <w:t>单位地址：江苏省淮安市淮安区华西路18号</w:t>
            </w:r>
          </w:p>
          <w:p w14:paraId="7F6C9F69">
            <w:pPr>
              <w:spacing w:line="360" w:lineRule="auto"/>
              <w:rPr>
                <w:rFonts w:ascii="宋体" w:hAnsi="宋体"/>
                <w:szCs w:val="21"/>
              </w:rPr>
            </w:pPr>
            <w:r>
              <w:rPr>
                <w:rFonts w:hint="eastAsia" w:ascii="宋体" w:hAnsi="宋体"/>
                <w:szCs w:val="21"/>
              </w:rPr>
              <w:t>法定代表人：</w:t>
            </w:r>
          </w:p>
          <w:p w14:paraId="2A2EE033">
            <w:pPr>
              <w:spacing w:line="360" w:lineRule="auto"/>
              <w:rPr>
                <w:rFonts w:ascii="宋体" w:hAnsi="宋体"/>
                <w:szCs w:val="21"/>
              </w:rPr>
            </w:pPr>
            <w:r>
              <w:rPr>
                <w:rFonts w:hint="eastAsia" w:ascii="宋体" w:hAnsi="宋体"/>
                <w:szCs w:val="21"/>
              </w:rPr>
              <w:t xml:space="preserve">委托代理人：                                </w:t>
            </w:r>
          </w:p>
          <w:p w14:paraId="5D266CC4">
            <w:pPr>
              <w:spacing w:line="360" w:lineRule="auto"/>
              <w:rPr>
                <w:rFonts w:ascii="宋体" w:hAnsi="宋体"/>
                <w:szCs w:val="21"/>
              </w:rPr>
            </w:pPr>
            <w:r>
              <w:rPr>
                <w:rFonts w:hint="eastAsia" w:ascii="宋体" w:hAnsi="宋体"/>
                <w:szCs w:val="21"/>
              </w:rPr>
              <w:t>签订时间:  2024年    月    日</w:t>
            </w:r>
          </w:p>
          <w:p w14:paraId="44242E7E">
            <w:pPr>
              <w:spacing w:line="360" w:lineRule="auto"/>
              <w:rPr>
                <w:rFonts w:ascii="宋体" w:hAnsi="宋体"/>
                <w:szCs w:val="21"/>
              </w:rPr>
            </w:pPr>
            <w:r>
              <w:rPr>
                <w:rFonts w:hint="eastAsia" w:ascii="宋体" w:hAnsi="宋体"/>
                <w:szCs w:val="21"/>
              </w:rPr>
              <w:t>电  话：0517-87036963</w:t>
            </w:r>
          </w:p>
          <w:p w14:paraId="3E46141E">
            <w:pPr>
              <w:spacing w:line="360" w:lineRule="auto"/>
              <w:rPr>
                <w:rFonts w:ascii="宋体" w:hAnsi="宋体"/>
                <w:szCs w:val="21"/>
              </w:rPr>
            </w:pPr>
            <w:r>
              <w:rPr>
                <w:rFonts w:hint="eastAsia" w:ascii="宋体" w:hAnsi="宋体"/>
                <w:szCs w:val="21"/>
              </w:rPr>
              <w:t>开户银行：中国农业银行淮安市楚州支行</w:t>
            </w:r>
          </w:p>
          <w:p w14:paraId="2CAD411E">
            <w:pPr>
              <w:spacing w:line="360" w:lineRule="auto"/>
              <w:rPr>
                <w:rFonts w:ascii="宋体" w:hAnsi="宋体" w:cs="Arial"/>
                <w:bCs/>
                <w:szCs w:val="21"/>
              </w:rPr>
            </w:pPr>
            <w:r>
              <w:rPr>
                <w:rFonts w:hint="eastAsia" w:ascii="宋体" w:hAnsi="宋体"/>
                <w:szCs w:val="21"/>
              </w:rPr>
              <w:t>帐  号：10354201040008092</w:t>
            </w:r>
          </w:p>
          <w:p w14:paraId="21930CD4">
            <w:pPr>
              <w:spacing w:line="360" w:lineRule="auto"/>
              <w:rPr>
                <w:rFonts w:ascii="宋体" w:hAnsi="宋体"/>
                <w:szCs w:val="21"/>
              </w:rPr>
            </w:pPr>
            <w:r>
              <w:rPr>
                <w:rFonts w:hint="eastAsia" w:ascii="宋体" w:hAnsi="宋体"/>
                <w:szCs w:val="21"/>
              </w:rPr>
              <w:t>税  号：91320800720586548C</w:t>
            </w:r>
          </w:p>
        </w:tc>
      </w:tr>
    </w:tbl>
    <w:p w14:paraId="7A6563A1">
      <w:pPr>
        <w:pStyle w:val="13"/>
      </w:pPr>
    </w:p>
    <w:p w14:paraId="186BFDE8">
      <w:pPr>
        <w:rPr>
          <w:rFonts w:ascii="宋体" w:hAnsi="宋体"/>
          <w:b/>
          <w:sz w:val="44"/>
          <w:szCs w:val="44"/>
        </w:rPr>
      </w:pPr>
    </w:p>
    <w:p w14:paraId="5CB51E07">
      <w:pPr>
        <w:pStyle w:val="13"/>
      </w:pPr>
    </w:p>
    <w:p w14:paraId="16A289FD">
      <w:pPr>
        <w:spacing w:line="360" w:lineRule="auto"/>
        <w:rPr>
          <w:rFonts w:ascii="仿宋" w:hAnsi="仿宋" w:eastAsia="仿宋" w:cs="仿宋"/>
          <w:b/>
          <w:bCs/>
          <w:sz w:val="28"/>
          <w:szCs w:val="28"/>
        </w:rPr>
      </w:pPr>
    </w:p>
    <w:p w14:paraId="6B998736">
      <w:pPr>
        <w:spacing w:line="360" w:lineRule="auto"/>
        <w:rPr>
          <w:rFonts w:ascii="仿宋" w:hAnsi="仿宋" w:eastAsia="仿宋" w:cs="仿宋"/>
          <w:b/>
          <w:bCs/>
          <w:sz w:val="28"/>
          <w:szCs w:val="28"/>
        </w:rPr>
      </w:pPr>
    </w:p>
    <w:p w14:paraId="7BA0EEE2">
      <w:pPr>
        <w:spacing w:line="360" w:lineRule="auto"/>
        <w:rPr>
          <w:rFonts w:ascii="仿宋" w:hAnsi="仿宋" w:eastAsia="仿宋" w:cs="仿宋"/>
          <w:b/>
          <w:bCs/>
          <w:sz w:val="28"/>
          <w:szCs w:val="28"/>
        </w:rPr>
      </w:pPr>
    </w:p>
    <w:p w14:paraId="06728E82">
      <w:pPr>
        <w:spacing w:line="360" w:lineRule="auto"/>
        <w:rPr>
          <w:rFonts w:ascii="仿宋" w:hAnsi="仿宋" w:eastAsia="仿宋" w:cs="仿宋"/>
          <w:b/>
          <w:bCs/>
          <w:sz w:val="28"/>
          <w:szCs w:val="28"/>
        </w:rPr>
      </w:pPr>
    </w:p>
    <w:p w14:paraId="426DC2D1">
      <w:pPr>
        <w:spacing w:line="360" w:lineRule="auto"/>
        <w:rPr>
          <w:rFonts w:ascii="仿宋" w:hAnsi="仿宋" w:eastAsia="仿宋" w:cs="仿宋"/>
          <w:b/>
          <w:bCs/>
          <w:sz w:val="28"/>
          <w:szCs w:val="28"/>
        </w:rPr>
      </w:pPr>
    </w:p>
    <w:p w14:paraId="11DC0EAC">
      <w:pPr>
        <w:spacing w:line="360" w:lineRule="auto"/>
        <w:rPr>
          <w:rFonts w:ascii="仿宋" w:hAnsi="仿宋" w:eastAsia="仿宋" w:cs="仿宋"/>
          <w:b/>
          <w:bCs/>
          <w:sz w:val="28"/>
          <w:szCs w:val="28"/>
        </w:rPr>
      </w:pPr>
    </w:p>
    <w:p w14:paraId="3F58210A">
      <w:pPr>
        <w:spacing w:line="360" w:lineRule="auto"/>
        <w:rPr>
          <w:rFonts w:ascii="仿宋" w:hAnsi="仿宋" w:eastAsia="仿宋" w:cs="仿宋"/>
          <w:b/>
          <w:bCs/>
          <w:sz w:val="28"/>
          <w:szCs w:val="28"/>
        </w:rPr>
      </w:pPr>
    </w:p>
    <w:p w14:paraId="1B3B4908">
      <w:pPr>
        <w:spacing w:line="360" w:lineRule="auto"/>
        <w:rPr>
          <w:rFonts w:ascii="仿宋" w:hAnsi="仿宋" w:eastAsia="仿宋" w:cs="仿宋"/>
          <w:b/>
          <w:bCs/>
          <w:sz w:val="28"/>
          <w:szCs w:val="28"/>
        </w:rPr>
      </w:pPr>
      <w:r>
        <w:rPr>
          <w:rFonts w:hint="eastAsia" w:ascii="仿宋" w:hAnsi="仿宋" w:eastAsia="仿宋" w:cs="仿宋"/>
          <w:b/>
          <w:bCs/>
          <w:sz w:val="28"/>
          <w:szCs w:val="28"/>
        </w:rPr>
        <w:t>附件四：技术标准和要求</w:t>
      </w:r>
      <w:bookmarkEnd w:id="0"/>
      <w:bookmarkEnd w:id="1"/>
      <w:bookmarkEnd w:id="2"/>
    </w:p>
    <w:p w14:paraId="06BC5A4D">
      <w:pPr>
        <w:pStyle w:val="13"/>
        <w:spacing w:line="600" w:lineRule="auto"/>
        <w:jc w:val="center"/>
        <w:rPr>
          <w:rFonts w:ascii="宋体" w:hAnsi="宋体"/>
          <w:b/>
          <w:spacing w:val="40"/>
          <w:w w:val="80"/>
          <w:sz w:val="44"/>
          <w:szCs w:val="44"/>
        </w:rPr>
      </w:pPr>
      <w:r>
        <w:rPr>
          <w:rFonts w:hint="eastAsia" w:ascii="宋体" w:hAnsi="宋体"/>
          <w:b/>
          <w:spacing w:val="40"/>
          <w:w w:val="80"/>
          <w:sz w:val="44"/>
          <w:szCs w:val="44"/>
        </w:rPr>
        <w:t>江苏苏盐井神股份有限公司第二分公司</w:t>
      </w:r>
    </w:p>
    <w:p w14:paraId="4A0B96E8">
      <w:pPr>
        <w:pStyle w:val="13"/>
        <w:spacing w:line="600" w:lineRule="auto"/>
        <w:jc w:val="center"/>
        <w:rPr>
          <w:rFonts w:ascii="宋体" w:hAnsi="宋体"/>
          <w:b/>
          <w:spacing w:val="40"/>
          <w:w w:val="80"/>
          <w:sz w:val="44"/>
          <w:szCs w:val="44"/>
        </w:rPr>
      </w:pPr>
      <w:r>
        <w:rPr>
          <w:rFonts w:hint="eastAsia" w:ascii="宋体" w:hAnsi="宋体"/>
          <w:b/>
          <w:spacing w:val="40"/>
          <w:w w:val="80"/>
          <w:sz w:val="44"/>
          <w:szCs w:val="44"/>
        </w:rPr>
        <w:t>谢碾矿区工艺管道改造工程</w:t>
      </w:r>
    </w:p>
    <w:p w14:paraId="789A579A">
      <w:pPr>
        <w:pStyle w:val="13"/>
        <w:spacing w:line="480" w:lineRule="auto"/>
        <w:jc w:val="center"/>
        <w:rPr>
          <w:rFonts w:ascii="宋体" w:hAnsi="宋体"/>
          <w:b/>
          <w:spacing w:val="40"/>
          <w:w w:val="80"/>
          <w:sz w:val="44"/>
          <w:szCs w:val="44"/>
        </w:rPr>
      </w:pPr>
    </w:p>
    <w:p w14:paraId="649F8EDD">
      <w:pPr>
        <w:pStyle w:val="13"/>
        <w:jc w:val="center"/>
        <w:rPr>
          <w:rFonts w:ascii="宋体" w:hAnsi="宋体"/>
          <w:b/>
          <w:spacing w:val="40"/>
          <w:w w:val="80"/>
          <w:sz w:val="44"/>
          <w:szCs w:val="44"/>
        </w:rPr>
      </w:pPr>
    </w:p>
    <w:p w14:paraId="127AD6A2">
      <w:pPr>
        <w:jc w:val="center"/>
        <w:rPr>
          <w:rFonts w:ascii="宋体" w:hAnsi="宋体"/>
          <w:b/>
          <w:sz w:val="28"/>
          <w:szCs w:val="36"/>
        </w:rPr>
      </w:pPr>
      <w:r>
        <w:rPr>
          <w:rFonts w:hint="eastAsia" w:ascii="宋体" w:hAnsi="宋体"/>
          <w:b/>
          <w:spacing w:val="40"/>
          <w:w w:val="80"/>
          <w:sz w:val="56"/>
          <w:szCs w:val="56"/>
        </w:rPr>
        <w:t>平板闸阀技术规格书</w:t>
      </w:r>
    </w:p>
    <w:p w14:paraId="1CD777CB">
      <w:pPr>
        <w:jc w:val="center"/>
        <w:rPr>
          <w:rFonts w:ascii="宋体" w:hAnsi="宋体"/>
          <w:b/>
        </w:rPr>
      </w:pPr>
    </w:p>
    <w:p w14:paraId="5CE76066">
      <w:pPr>
        <w:jc w:val="center"/>
        <w:rPr>
          <w:rFonts w:ascii="宋体" w:hAnsi="宋体"/>
          <w:b/>
        </w:rPr>
      </w:pPr>
    </w:p>
    <w:p w14:paraId="3886DBE0">
      <w:pPr>
        <w:jc w:val="center"/>
        <w:rPr>
          <w:rFonts w:ascii="宋体" w:hAnsi="宋体"/>
          <w:b/>
        </w:rPr>
      </w:pPr>
    </w:p>
    <w:p w14:paraId="76720679">
      <w:pPr>
        <w:jc w:val="center"/>
        <w:rPr>
          <w:rFonts w:ascii="宋体" w:hAnsi="宋体"/>
          <w:b/>
        </w:rPr>
      </w:pPr>
    </w:p>
    <w:p w14:paraId="19446D86">
      <w:pPr>
        <w:jc w:val="center"/>
        <w:rPr>
          <w:rFonts w:ascii="宋体" w:hAnsi="宋体"/>
          <w:b/>
        </w:rPr>
      </w:pPr>
    </w:p>
    <w:p w14:paraId="10972CC7">
      <w:pPr>
        <w:jc w:val="center"/>
        <w:rPr>
          <w:rFonts w:ascii="宋体" w:hAnsi="宋体"/>
          <w:b/>
        </w:rPr>
      </w:pPr>
    </w:p>
    <w:p w14:paraId="4001DECE">
      <w:pPr>
        <w:jc w:val="center"/>
        <w:rPr>
          <w:rFonts w:ascii="宋体" w:hAnsi="宋体"/>
          <w:b/>
        </w:rPr>
      </w:pPr>
      <w:r>
        <w:rPr>
          <w:rFonts w:ascii="宋体" w:hAnsi="宋体"/>
          <w:b/>
        </w:rPr>
        <w:object>
          <v:shape id="_x0000_i1025" o:spt="75" type="#_x0000_t75" style="height:83.5pt;width:87.15pt;" o:ole="t" filled="f" o:preferrelative="t" stroked="f" coordsize="21600,21600">
            <v:path/>
            <v:fill on="f" focussize="0,0"/>
            <v:stroke on="f" joinstyle="miter"/>
            <v:imagedata r:id="rId17" cropleft="32042f" croptop="46069f" cropright="28861f" cropbottom="11949f" o:title=""/>
            <o:lock v:ext="edit" aspectratio="t"/>
            <w10:wrap type="none"/>
            <w10:anchorlock/>
          </v:shape>
          <o:OLEObject Type="Embed" ProgID="AutoCAD.Drawing.16" ShapeID="_x0000_i1025" DrawAspect="Content" ObjectID="_1468075725" r:id="rId16">
            <o:LockedField>false</o:LockedField>
          </o:OLEObject>
        </w:object>
      </w:r>
    </w:p>
    <w:p w14:paraId="445D1EFE">
      <w:pPr>
        <w:jc w:val="center"/>
        <w:rPr>
          <w:rFonts w:ascii="宋体" w:hAnsi="宋体"/>
          <w:b/>
        </w:rPr>
      </w:pPr>
    </w:p>
    <w:p w14:paraId="1D39970A">
      <w:pPr>
        <w:jc w:val="center"/>
        <w:rPr>
          <w:rFonts w:ascii="宋体" w:hAnsi="宋体"/>
          <w:b/>
        </w:rPr>
      </w:pPr>
    </w:p>
    <w:p w14:paraId="35EA1164">
      <w:pPr>
        <w:jc w:val="center"/>
        <w:rPr>
          <w:rFonts w:ascii="宋体" w:hAnsi="宋体"/>
          <w:b/>
        </w:rPr>
      </w:pPr>
    </w:p>
    <w:p w14:paraId="3DD1EF6C">
      <w:pPr>
        <w:jc w:val="center"/>
        <w:rPr>
          <w:rFonts w:ascii="宋体" w:hAnsi="宋体"/>
          <w:b/>
          <w:sz w:val="28"/>
          <w:szCs w:val="28"/>
        </w:rPr>
      </w:pPr>
    </w:p>
    <w:p w14:paraId="1163463D">
      <w:pPr>
        <w:jc w:val="center"/>
        <w:rPr>
          <w:rFonts w:ascii="宋体" w:hAnsi="宋体"/>
          <w:b/>
          <w:sz w:val="28"/>
          <w:szCs w:val="28"/>
        </w:rPr>
      </w:pPr>
    </w:p>
    <w:p w14:paraId="31E9403C">
      <w:pPr>
        <w:jc w:val="center"/>
        <w:rPr>
          <w:rFonts w:ascii="宋体" w:hAnsi="宋体"/>
          <w:b/>
          <w:sz w:val="36"/>
          <w:szCs w:val="36"/>
        </w:rPr>
      </w:pPr>
      <w:r>
        <w:rPr>
          <w:rFonts w:hint="eastAsia" w:ascii="宋体" w:hAnsi="宋体"/>
          <w:b/>
          <w:sz w:val="36"/>
          <w:szCs w:val="36"/>
        </w:rPr>
        <w:t>江苏苏盐井神股份有限公司</w:t>
      </w:r>
    </w:p>
    <w:p w14:paraId="4A7FC154">
      <w:pPr>
        <w:jc w:val="center"/>
        <w:rPr>
          <w:rFonts w:ascii="宋体" w:hAnsi="宋体"/>
          <w:b/>
          <w:sz w:val="36"/>
          <w:szCs w:val="36"/>
        </w:rPr>
      </w:pPr>
      <w:r>
        <w:rPr>
          <w:rFonts w:hint="eastAsia" w:ascii="宋体" w:hAnsi="宋体"/>
          <w:b/>
          <w:sz w:val="36"/>
          <w:szCs w:val="36"/>
        </w:rPr>
        <w:t>二〇二四年九月</w:t>
      </w:r>
    </w:p>
    <w:p w14:paraId="76491754">
      <w:pPr>
        <w:jc w:val="center"/>
        <w:rPr>
          <w:rFonts w:ascii="宋体" w:hAnsi="宋体"/>
          <w:b/>
          <w:spacing w:val="40"/>
          <w:sz w:val="30"/>
          <w:szCs w:val="30"/>
        </w:rPr>
      </w:pPr>
    </w:p>
    <w:p w14:paraId="55F4098E">
      <w:pPr>
        <w:sectPr>
          <w:headerReference r:id="rId3" w:type="default"/>
          <w:headerReference r:id="rId4" w:type="even"/>
          <w:pgSz w:w="11906" w:h="16838"/>
          <w:pgMar w:top="1247" w:right="1531" w:bottom="1247" w:left="1531" w:header="777" w:footer="754" w:gutter="0"/>
          <w:pgNumType w:start="0"/>
          <w:cols w:space="720" w:num="1"/>
          <w:titlePg/>
          <w:docGrid w:type="linesAndChars" w:linePitch="312" w:charSpace="0"/>
        </w:sectPr>
      </w:pPr>
    </w:p>
    <w:p w14:paraId="68760820"/>
    <w:p w14:paraId="3EE0CAD9">
      <w:pPr>
        <w:pStyle w:val="25"/>
        <w:jc w:val="center"/>
        <w:rPr>
          <w:sz w:val="28"/>
        </w:rPr>
      </w:pPr>
      <w:r>
        <w:rPr>
          <w:rFonts w:hint="eastAsia"/>
          <w:sz w:val="28"/>
        </w:rPr>
        <w:t>目</w:t>
      </w:r>
      <w:r>
        <w:rPr>
          <w:sz w:val="28"/>
        </w:rPr>
        <w:t xml:space="preserve"> </w:t>
      </w:r>
      <w:r>
        <w:rPr>
          <w:rFonts w:hint="eastAsia"/>
          <w:sz w:val="28"/>
        </w:rPr>
        <w:t xml:space="preserve"> 录</w:t>
      </w:r>
    </w:p>
    <w:p w14:paraId="1A5293D3"/>
    <w:p w14:paraId="673F8616">
      <w:pPr>
        <w:pStyle w:val="25"/>
        <w:tabs>
          <w:tab w:val="right" w:leader="dot" w:pos="8844"/>
        </w:tabs>
      </w:pPr>
      <w:r>
        <w:rPr>
          <w:rFonts w:ascii="黑体" w:hAnsi="黑体" w:eastAsia="黑体"/>
        </w:rPr>
        <w:fldChar w:fldCharType="begin"/>
      </w:r>
      <w:r>
        <w:rPr>
          <w:rFonts w:ascii="黑体" w:hAnsi="黑体" w:eastAsia="黑体"/>
        </w:rPr>
        <w:instrText xml:space="preserve">TOC \o "1-1" \h  \u </w:instrText>
      </w:r>
      <w:r>
        <w:rPr>
          <w:rFonts w:ascii="黑体" w:hAnsi="黑体" w:eastAsia="黑体"/>
        </w:rPr>
        <w:fldChar w:fldCharType="separate"/>
      </w:r>
      <w:r>
        <w:fldChar w:fldCharType="begin"/>
      </w:r>
      <w:r>
        <w:instrText xml:space="preserve"> HYPERLINK \l "_Toc16142" </w:instrText>
      </w:r>
      <w:r>
        <w:fldChar w:fldCharType="separate"/>
      </w:r>
      <w:r>
        <w:rPr>
          <w:rFonts w:hint="eastAsia"/>
        </w:rPr>
        <w:t>1 范围</w:t>
      </w:r>
      <w:r>
        <w:tab/>
      </w:r>
      <w:r>
        <w:fldChar w:fldCharType="begin"/>
      </w:r>
      <w:r>
        <w:instrText xml:space="preserve"> PAGEREF _Toc16142 \h </w:instrText>
      </w:r>
      <w:r>
        <w:fldChar w:fldCharType="separate"/>
      </w:r>
      <w:r>
        <w:t>1</w:t>
      </w:r>
      <w:r>
        <w:fldChar w:fldCharType="end"/>
      </w:r>
      <w:r>
        <w:fldChar w:fldCharType="end"/>
      </w:r>
    </w:p>
    <w:p w14:paraId="12E9166E">
      <w:pPr>
        <w:pStyle w:val="25"/>
        <w:tabs>
          <w:tab w:val="right" w:leader="dot" w:pos="8844"/>
        </w:tabs>
      </w:pPr>
      <w:r>
        <w:fldChar w:fldCharType="begin"/>
      </w:r>
      <w:r>
        <w:instrText xml:space="preserve"> HYPERLINK \l "_Toc24439" </w:instrText>
      </w:r>
      <w:r>
        <w:fldChar w:fldCharType="separate"/>
      </w:r>
      <w:r>
        <w:rPr>
          <w:rFonts w:hint="eastAsia"/>
        </w:rPr>
        <w:t>2 定义</w:t>
      </w:r>
      <w:r>
        <w:tab/>
      </w:r>
      <w:r>
        <w:fldChar w:fldCharType="begin"/>
      </w:r>
      <w:r>
        <w:instrText xml:space="preserve"> PAGEREF _Toc24439 \h </w:instrText>
      </w:r>
      <w:r>
        <w:fldChar w:fldCharType="separate"/>
      </w:r>
      <w:r>
        <w:t>1</w:t>
      </w:r>
      <w:r>
        <w:fldChar w:fldCharType="end"/>
      </w:r>
      <w:r>
        <w:fldChar w:fldCharType="end"/>
      </w:r>
    </w:p>
    <w:p w14:paraId="0C6A5585">
      <w:pPr>
        <w:pStyle w:val="25"/>
        <w:tabs>
          <w:tab w:val="right" w:leader="dot" w:pos="8844"/>
        </w:tabs>
      </w:pPr>
      <w:r>
        <w:fldChar w:fldCharType="begin"/>
      </w:r>
      <w:r>
        <w:instrText xml:space="preserve"> HYPERLINK \l "_Toc2176" </w:instrText>
      </w:r>
      <w:r>
        <w:fldChar w:fldCharType="separate"/>
      </w:r>
      <w:r>
        <w:rPr>
          <w:rFonts w:hint="eastAsia"/>
        </w:rPr>
        <w:t>3 标准、规范和技术规定</w:t>
      </w:r>
      <w:r>
        <w:tab/>
      </w:r>
      <w:r>
        <w:fldChar w:fldCharType="begin"/>
      </w:r>
      <w:r>
        <w:instrText xml:space="preserve"> PAGEREF _Toc2176 \h </w:instrText>
      </w:r>
      <w:r>
        <w:fldChar w:fldCharType="separate"/>
      </w:r>
      <w:r>
        <w:t>2</w:t>
      </w:r>
      <w:r>
        <w:fldChar w:fldCharType="end"/>
      </w:r>
      <w:r>
        <w:fldChar w:fldCharType="end"/>
      </w:r>
    </w:p>
    <w:p w14:paraId="6A0ADDD3">
      <w:pPr>
        <w:pStyle w:val="25"/>
        <w:tabs>
          <w:tab w:val="right" w:leader="dot" w:pos="8844"/>
        </w:tabs>
      </w:pPr>
      <w:r>
        <w:fldChar w:fldCharType="begin"/>
      </w:r>
      <w:r>
        <w:instrText xml:space="preserve"> HYPERLINK \l "_Toc25036" </w:instrText>
      </w:r>
      <w:r>
        <w:fldChar w:fldCharType="separate"/>
      </w:r>
      <w:r>
        <w:rPr>
          <w:rFonts w:hint="eastAsia"/>
        </w:rPr>
        <w:t>4 环境条件和介质物性</w:t>
      </w:r>
      <w:r>
        <w:tab/>
      </w:r>
      <w:r>
        <w:fldChar w:fldCharType="begin"/>
      </w:r>
      <w:r>
        <w:instrText xml:space="preserve"> PAGEREF _Toc25036 \h </w:instrText>
      </w:r>
      <w:r>
        <w:fldChar w:fldCharType="separate"/>
      </w:r>
      <w:r>
        <w:t>3</w:t>
      </w:r>
      <w:r>
        <w:fldChar w:fldCharType="end"/>
      </w:r>
      <w:r>
        <w:fldChar w:fldCharType="end"/>
      </w:r>
    </w:p>
    <w:p w14:paraId="371821D2">
      <w:pPr>
        <w:pStyle w:val="25"/>
        <w:tabs>
          <w:tab w:val="right" w:leader="dot" w:pos="8844"/>
        </w:tabs>
      </w:pPr>
      <w:r>
        <w:fldChar w:fldCharType="begin"/>
      </w:r>
      <w:r>
        <w:instrText xml:space="preserve"> HYPERLINK \l "_Toc16162" </w:instrText>
      </w:r>
      <w:r>
        <w:fldChar w:fldCharType="separate"/>
      </w:r>
      <w:r>
        <w:rPr>
          <w:rFonts w:hint="eastAsia"/>
        </w:rPr>
        <w:t>5 阀门</w:t>
      </w:r>
      <w:r>
        <w:tab/>
      </w:r>
      <w:r>
        <w:fldChar w:fldCharType="begin"/>
      </w:r>
      <w:r>
        <w:instrText xml:space="preserve"> PAGEREF _Toc16162 \h </w:instrText>
      </w:r>
      <w:r>
        <w:fldChar w:fldCharType="separate"/>
      </w:r>
      <w:r>
        <w:t>4</w:t>
      </w:r>
      <w:r>
        <w:fldChar w:fldCharType="end"/>
      </w:r>
      <w:r>
        <w:fldChar w:fldCharType="end"/>
      </w:r>
    </w:p>
    <w:p w14:paraId="7A0F2FD3">
      <w:pPr>
        <w:pStyle w:val="25"/>
        <w:tabs>
          <w:tab w:val="right" w:leader="dot" w:pos="8844"/>
        </w:tabs>
      </w:pPr>
      <w:r>
        <w:fldChar w:fldCharType="begin"/>
      </w:r>
      <w:r>
        <w:instrText xml:space="preserve"> HYPERLINK \l "_Toc30749" </w:instrText>
      </w:r>
      <w:r>
        <w:fldChar w:fldCharType="separate"/>
      </w:r>
      <w:r>
        <w:rPr>
          <w:rFonts w:hint="eastAsia"/>
        </w:rPr>
        <w:t>6 电动执行机构</w:t>
      </w:r>
      <w:r>
        <w:tab/>
      </w:r>
      <w:r>
        <w:fldChar w:fldCharType="begin"/>
      </w:r>
      <w:r>
        <w:instrText xml:space="preserve"> PAGEREF _Toc30749 \h </w:instrText>
      </w:r>
      <w:r>
        <w:fldChar w:fldCharType="separate"/>
      </w:r>
      <w:r>
        <w:t>10</w:t>
      </w:r>
      <w:r>
        <w:fldChar w:fldCharType="end"/>
      </w:r>
      <w:r>
        <w:fldChar w:fldCharType="end"/>
      </w:r>
    </w:p>
    <w:p w14:paraId="7EDC1CA6">
      <w:pPr>
        <w:pStyle w:val="25"/>
        <w:tabs>
          <w:tab w:val="right" w:leader="dot" w:pos="8844"/>
        </w:tabs>
      </w:pPr>
      <w:r>
        <w:fldChar w:fldCharType="begin"/>
      </w:r>
      <w:r>
        <w:instrText xml:space="preserve"> HYPERLINK \l "_Toc29731" </w:instrText>
      </w:r>
      <w:r>
        <w:fldChar w:fldCharType="separate"/>
      </w:r>
      <w:r>
        <w:rPr>
          <w:rFonts w:hint="eastAsia"/>
        </w:rPr>
        <w:t>7 备品、备件</w:t>
      </w:r>
      <w:r>
        <w:tab/>
      </w:r>
      <w:r>
        <w:fldChar w:fldCharType="begin"/>
      </w:r>
      <w:r>
        <w:instrText xml:space="preserve"> PAGEREF _Toc29731 \h </w:instrText>
      </w:r>
      <w:r>
        <w:fldChar w:fldCharType="separate"/>
      </w:r>
      <w:r>
        <w:t>17</w:t>
      </w:r>
      <w:r>
        <w:fldChar w:fldCharType="end"/>
      </w:r>
      <w:r>
        <w:fldChar w:fldCharType="end"/>
      </w:r>
    </w:p>
    <w:p w14:paraId="484E3BDA">
      <w:pPr>
        <w:pStyle w:val="25"/>
        <w:tabs>
          <w:tab w:val="right" w:leader="dot" w:pos="8844"/>
        </w:tabs>
      </w:pPr>
      <w:r>
        <w:fldChar w:fldCharType="begin"/>
      </w:r>
      <w:r>
        <w:instrText xml:space="preserve"> HYPERLINK \l "_Toc32092" </w:instrText>
      </w:r>
      <w:r>
        <w:fldChar w:fldCharType="separate"/>
      </w:r>
      <w:r>
        <w:rPr>
          <w:rFonts w:hint="eastAsia"/>
        </w:rPr>
        <w:t>8 喷涂、储存、包装和运输</w:t>
      </w:r>
      <w:r>
        <w:tab/>
      </w:r>
      <w:r>
        <w:fldChar w:fldCharType="begin"/>
      </w:r>
      <w:r>
        <w:instrText xml:space="preserve"> PAGEREF _Toc32092 \h </w:instrText>
      </w:r>
      <w:r>
        <w:fldChar w:fldCharType="separate"/>
      </w:r>
      <w:r>
        <w:t>17</w:t>
      </w:r>
      <w:r>
        <w:fldChar w:fldCharType="end"/>
      </w:r>
      <w:r>
        <w:fldChar w:fldCharType="end"/>
      </w:r>
    </w:p>
    <w:p w14:paraId="4BC8497C">
      <w:pPr>
        <w:pStyle w:val="25"/>
        <w:tabs>
          <w:tab w:val="right" w:leader="dot" w:pos="8844"/>
        </w:tabs>
      </w:pPr>
      <w:r>
        <w:fldChar w:fldCharType="begin"/>
      </w:r>
      <w:r>
        <w:instrText xml:space="preserve"> HYPERLINK \l "_Toc21311" </w:instrText>
      </w:r>
      <w:r>
        <w:fldChar w:fldCharType="separate"/>
      </w:r>
      <w:r>
        <w:rPr>
          <w:rFonts w:hint="eastAsia"/>
        </w:rPr>
        <w:t>9 图纸和证书</w:t>
      </w:r>
      <w:r>
        <w:tab/>
      </w:r>
      <w:r>
        <w:fldChar w:fldCharType="begin"/>
      </w:r>
      <w:r>
        <w:instrText xml:space="preserve"> PAGEREF _Toc21311 \h </w:instrText>
      </w:r>
      <w:r>
        <w:fldChar w:fldCharType="separate"/>
      </w:r>
      <w:r>
        <w:t>18</w:t>
      </w:r>
      <w:r>
        <w:fldChar w:fldCharType="end"/>
      </w:r>
      <w:r>
        <w:fldChar w:fldCharType="end"/>
      </w:r>
    </w:p>
    <w:p w14:paraId="0720EF79">
      <w:pPr>
        <w:pStyle w:val="25"/>
        <w:tabs>
          <w:tab w:val="right" w:leader="dot" w:pos="8844"/>
        </w:tabs>
      </w:pPr>
      <w:r>
        <w:fldChar w:fldCharType="begin"/>
      </w:r>
      <w:r>
        <w:instrText xml:space="preserve"> HYPERLINK \l "_Toc159" </w:instrText>
      </w:r>
      <w:r>
        <w:fldChar w:fldCharType="separate"/>
      </w:r>
      <w:r>
        <w:rPr>
          <w:rFonts w:hint="eastAsia"/>
        </w:rPr>
        <w:t>10 保证和担保</w:t>
      </w:r>
      <w:r>
        <w:tab/>
      </w:r>
      <w:r>
        <w:fldChar w:fldCharType="begin"/>
      </w:r>
      <w:r>
        <w:instrText xml:space="preserve"> PAGEREF _Toc159 \h </w:instrText>
      </w:r>
      <w:r>
        <w:fldChar w:fldCharType="separate"/>
      </w:r>
      <w:r>
        <w:t>20</w:t>
      </w:r>
      <w:r>
        <w:fldChar w:fldCharType="end"/>
      </w:r>
      <w:r>
        <w:fldChar w:fldCharType="end"/>
      </w:r>
    </w:p>
    <w:p w14:paraId="033C24E0">
      <w:pPr>
        <w:pStyle w:val="25"/>
        <w:tabs>
          <w:tab w:val="right" w:leader="dot" w:pos="8844"/>
        </w:tabs>
      </w:pPr>
      <w:r>
        <w:fldChar w:fldCharType="begin"/>
      </w:r>
      <w:r>
        <w:instrText xml:space="preserve"> HYPERLINK \l "_Toc8277" </w:instrText>
      </w:r>
      <w:r>
        <w:fldChar w:fldCharType="separate"/>
      </w:r>
      <w:r>
        <w:rPr>
          <w:rFonts w:hint="eastAsia"/>
        </w:rPr>
        <w:t>11 相关技术要求</w:t>
      </w:r>
      <w:r>
        <w:tab/>
      </w:r>
      <w:r>
        <w:fldChar w:fldCharType="begin"/>
      </w:r>
      <w:r>
        <w:instrText xml:space="preserve"> PAGEREF _Toc8277 \h </w:instrText>
      </w:r>
      <w:r>
        <w:fldChar w:fldCharType="separate"/>
      </w:r>
      <w:r>
        <w:t>21</w:t>
      </w:r>
      <w:r>
        <w:fldChar w:fldCharType="end"/>
      </w:r>
      <w:r>
        <w:fldChar w:fldCharType="end"/>
      </w:r>
    </w:p>
    <w:p w14:paraId="4D5229F1">
      <w:pPr>
        <w:pStyle w:val="25"/>
        <w:tabs>
          <w:tab w:val="right" w:leader="dot" w:pos="8844"/>
        </w:tabs>
        <w:rPr>
          <w:rFonts w:ascii="黑体" w:hAnsi="黑体" w:eastAsia="黑体"/>
        </w:rPr>
      </w:pPr>
      <w:r>
        <w:rPr>
          <w:rFonts w:ascii="黑体" w:hAnsi="黑体" w:eastAsia="黑体"/>
        </w:rPr>
        <w:fldChar w:fldCharType="end"/>
      </w:r>
      <w:r>
        <w:rPr>
          <w:rFonts w:hint="eastAsia" w:ascii="黑体" w:hAnsi="黑体" w:eastAsia="黑体"/>
        </w:rPr>
        <w:t>附表：电动平板闸阀阀门规格表</w:t>
      </w:r>
    </w:p>
    <w:p w14:paraId="3C10CAE1">
      <w:pPr>
        <w:tabs>
          <w:tab w:val="left" w:pos="3120"/>
        </w:tabs>
      </w:pPr>
      <w:r>
        <w:tab/>
      </w:r>
    </w:p>
    <w:p w14:paraId="67C28FE0"/>
    <w:p w14:paraId="12495FD1"/>
    <w:p w14:paraId="040E2751">
      <w:pPr>
        <w:tabs>
          <w:tab w:val="left" w:pos="3600"/>
        </w:tabs>
      </w:pPr>
    </w:p>
    <w:p w14:paraId="176EF471">
      <w:pPr>
        <w:tabs>
          <w:tab w:val="left" w:pos="3600"/>
        </w:tabs>
        <w:sectPr>
          <w:headerReference r:id="rId7" w:type="first"/>
          <w:footerReference r:id="rId8" w:type="first"/>
          <w:headerReference r:id="rId5" w:type="default"/>
          <w:headerReference r:id="rId6" w:type="even"/>
          <w:pgSz w:w="11906" w:h="16838"/>
          <w:pgMar w:top="1247" w:right="1531" w:bottom="1247" w:left="1531" w:header="779" w:footer="752" w:gutter="0"/>
          <w:pgNumType w:fmt="upperRoman" w:start="1"/>
          <w:cols w:space="720" w:num="1"/>
          <w:titlePg/>
          <w:docGrid w:type="linesAndChars" w:linePitch="312" w:charSpace="0"/>
        </w:sectPr>
      </w:pPr>
      <w:r>
        <w:tab/>
      </w:r>
    </w:p>
    <w:p w14:paraId="5B1F5669">
      <w:pPr>
        <w:pStyle w:val="94"/>
        <w:numPr>
          <w:ilvl w:val="0"/>
          <w:numId w:val="4"/>
        </w:numPr>
      </w:pPr>
      <w:bookmarkStart w:id="3" w:name="_Toc27569"/>
      <w:bookmarkStart w:id="4" w:name="_Toc25681"/>
      <w:bookmarkStart w:id="5" w:name="_Toc17306"/>
      <w:bookmarkStart w:id="6" w:name="_Toc23963"/>
      <w:bookmarkStart w:id="7" w:name="_Toc16142"/>
      <w:bookmarkStart w:id="8" w:name="_Toc15931"/>
      <w:bookmarkStart w:id="9" w:name="_Toc339469362"/>
      <w:bookmarkStart w:id="10" w:name="_Toc11605"/>
      <w:bookmarkStart w:id="11" w:name="_Toc21594"/>
      <w:bookmarkStart w:id="12" w:name="_Toc25962"/>
      <w:bookmarkStart w:id="13" w:name="_Toc22674"/>
      <w:bookmarkStart w:id="14" w:name="_Toc20506"/>
      <w:r>
        <w:rPr>
          <w:rFonts w:hint="eastAsia"/>
        </w:rPr>
        <w:t>范围</w:t>
      </w:r>
      <w:bookmarkEnd w:id="3"/>
      <w:bookmarkEnd w:id="4"/>
      <w:bookmarkEnd w:id="5"/>
      <w:bookmarkEnd w:id="6"/>
      <w:bookmarkEnd w:id="7"/>
      <w:bookmarkEnd w:id="8"/>
      <w:bookmarkEnd w:id="9"/>
      <w:bookmarkEnd w:id="10"/>
      <w:bookmarkEnd w:id="11"/>
      <w:bookmarkEnd w:id="12"/>
      <w:bookmarkEnd w:id="13"/>
      <w:bookmarkEnd w:id="14"/>
    </w:p>
    <w:p w14:paraId="419A0BD7">
      <w:pPr>
        <w:pStyle w:val="90"/>
        <w:rPr>
          <w:color w:val="auto"/>
        </w:rPr>
      </w:pPr>
      <w:r>
        <w:rPr>
          <w:rFonts w:hint="eastAsia"/>
          <w:color w:val="auto"/>
        </w:rPr>
        <w:t>本技术规格书规定了谢碾矿区工艺管道改线工程项目所用手动平板闸阀和电动平板闸阀阀门及其配套电动执行机构的设计、制造、测试、检验、装配、包装与运输的最低要求。</w:t>
      </w:r>
    </w:p>
    <w:p w14:paraId="5DB1E16B">
      <w:pPr>
        <w:pStyle w:val="90"/>
        <w:rPr>
          <w:color w:val="auto"/>
        </w:rPr>
      </w:pPr>
      <w:r>
        <w:rPr>
          <w:rFonts w:hint="eastAsia"/>
          <w:color w:val="auto"/>
        </w:rPr>
        <w:t>对本技术规格书提供的产品和服务，</w:t>
      </w:r>
      <w:r>
        <w:rPr>
          <w:rFonts w:hint="eastAsia"/>
          <w:b/>
          <w:color w:val="auto"/>
        </w:rPr>
        <w:t>应</w:t>
      </w:r>
      <w:r>
        <w:rPr>
          <w:rFonts w:hint="eastAsia"/>
          <w:color w:val="auto"/>
        </w:rPr>
        <w:t>遵循</w:t>
      </w:r>
      <w:r>
        <w:rPr>
          <w:color w:val="auto"/>
        </w:rPr>
        <w:t>ISO9000</w:t>
      </w:r>
      <w:r>
        <w:rPr>
          <w:rFonts w:hint="eastAsia"/>
          <w:color w:val="auto"/>
        </w:rPr>
        <w:t>或其它相当标准的有关质量保证体系的规定。</w:t>
      </w:r>
    </w:p>
    <w:p w14:paraId="7C927C5E">
      <w:pPr>
        <w:pStyle w:val="90"/>
        <w:rPr>
          <w:color w:val="auto"/>
        </w:rPr>
      </w:pPr>
      <w:r>
        <w:rPr>
          <w:rFonts w:hint="eastAsia"/>
          <w:color w:val="auto"/>
        </w:rPr>
        <w:t>除购方特殊规定外，所有图纸、文件及往来资料</w:t>
      </w:r>
      <w:r>
        <w:rPr>
          <w:rFonts w:hint="eastAsia"/>
          <w:b/>
          <w:color w:val="auto"/>
        </w:rPr>
        <w:t>应</w:t>
      </w:r>
      <w:r>
        <w:rPr>
          <w:rFonts w:hint="eastAsia"/>
          <w:color w:val="auto"/>
        </w:rPr>
        <w:t>采用中文，计量单位</w:t>
      </w:r>
      <w:r>
        <w:rPr>
          <w:rFonts w:hint="eastAsia"/>
          <w:b/>
          <w:color w:val="auto"/>
        </w:rPr>
        <w:t>应</w:t>
      </w:r>
      <w:r>
        <w:rPr>
          <w:rFonts w:hint="eastAsia"/>
          <w:color w:val="auto"/>
        </w:rPr>
        <w:t>采用国际单位（SI）。</w:t>
      </w:r>
    </w:p>
    <w:p w14:paraId="11594AD2">
      <w:pPr>
        <w:pStyle w:val="94"/>
        <w:numPr>
          <w:ilvl w:val="0"/>
          <w:numId w:val="4"/>
        </w:numPr>
      </w:pPr>
      <w:bookmarkStart w:id="15" w:name="_Toc339469363"/>
      <w:bookmarkStart w:id="16" w:name="_Toc16991"/>
      <w:bookmarkStart w:id="17" w:name="_Toc12258"/>
      <w:bookmarkStart w:id="18" w:name="_Toc25838"/>
      <w:bookmarkStart w:id="19" w:name="_Toc17770"/>
      <w:bookmarkStart w:id="20" w:name="_Toc2700"/>
      <w:bookmarkStart w:id="21" w:name="_Toc2168"/>
      <w:bookmarkStart w:id="22" w:name="_Toc3695"/>
      <w:bookmarkStart w:id="23" w:name="_Toc32155"/>
      <w:bookmarkStart w:id="24" w:name="_Toc24439"/>
      <w:bookmarkStart w:id="25" w:name="_Toc29431"/>
      <w:bookmarkStart w:id="26" w:name="_Toc28429"/>
      <w:r>
        <w:rPr>
          <w:rFonts w:hint="eastAsia"/>
        </w:rPr>
        <w:t>定义</w:t>
      </w:r>
      <w:bookmarkEnd w:id="15"/>
      <w:bookmarkEnd w:id="16"/>
      <w:bookmarkEnd w:id="17"/>
      <w:bookmarkEnd w:id="18"/>
      <w:bookmarkEnd w:id="19"/>
      <w:bookmarkEnd w:id="20"/>
      <w:bookmarkEnd w:id="21"/>
      <w:bookmarkEnd w:id="22"/>
      <w:bookmarkEnd w:id="23"/>
      <w:bookmarkEnd w:id="24"/>
      <w:bookmarkEnd w:id="25"/>
      <w:bookmarkEnd w:id="26"/>
    </w:p>
    <w:p w14:paraId="24260472">
      <w:pPr>
        <w:pStyle w:val="92"/>
        <w:numPr>
          <w:ilvl w:val="1"/>
          <w:numId w:val="4"/>
        </w:numPr>
      </w:pPr>
      <w:r>
        <w:rPr>
          <w:rFonts w:hint="eastAsia"/>
        </w:rPr>
        <w:t>购方、制造商及供方定义</w:t>
      </w:r>
    </w:p>
    <w:p w14:paraId="20733A24">
      <w:pPr>
        <w:pStyle w:val="90"/>
        <w:rPr>
          <w:color w:val="auto"/>
        </w:rPr>
      </w:pPr>
      <w:bookmarkStart w:id="27" w:name="_Toc25835"/>
      <w:bookmarkStart w:id="28" w:name="_Toc21413"/>
      <w:bookmarkStart w:id="29" w:name="_Toc6362"/>
      <w:bookmarkStart w:id="30" w:name="_Toc13765"/>
      <w:bookmarkStart w:id="31" w:name="_Toc9643"/>
      <w:bookmarkStart w:id="32" w:name="_Toc547"/>
      <w:bookmarkStart w:id="33" w:name="_Toc11130"/>
      <w:bookmarkStart w:id="34" w:name="_Toc8402"/>
      <w:bookmarkStart w:id="35" w:name="_Toc5943"/>
      <w:bookmarkStart w:id="36" w:name="_Toc29079"/>
      <w:bookmarkStart w:id="37" w:name="_Toc23912"/>
      <w:bookmarkStart w:id="38" w:name="_Toc339469364"/>
      <w:r>
        <w:rPr>
          <w:rFonts w:hint="eastAsia"/>
          <w:color w:val="auto"/>
        </w:rPr>
        <w:t>以下定义用于阐明有关各方在国产阀门、电动执行机构的设计、制造、供应及所有权中所处的位置。</w:t>
      </w:r>
    </w:p>
    <w:p w14:paraId="771798D3">
      <w:pPr>
        <w:pStyle w:val="90"/>
        <w:rPr>
          <w:color w:val="auto"/>
        </w:rPr>
      </w:pPr>
      <w:r>
        <w:rPr>
          <w:rFonts w:hint="eastAsia"/>
          <w:color w:val="auto"/>
        </w:rPr>
        <w:t>购  方：指业主或由业主授权的代表；</w:t>
      </w:r>
    </w:p>
    <w:p w14:paraId="076946B9">
      <w:pPr>
        <w:pStyle w:val="90"/>
        <w:rPr>
          <w:color w:val="auto"/>
        </w:rPr>
      </w:pPr>
      <w:r>
        <w:rPr>
          <w:rFonts w:hint="eastAsia"/>
          <w:color w:val="auto"/>
        </w:rPr>
        <w:t>制造商：指按照本技术规格书要求制造设备或材料的一方或多方；</w:t>
      </w:r>
    </w:p>
    <w:p w14:paraId="35B21D61">
      <w:pPr>
        <w:pStyle w:val="90"/>
        <w:rPr>
          <w:color w:val="auto"/>
        </w:rPr>
      </w:pPr>
      <w:r>
        <w:rPr>
          <w:rFonts w:hint="eastAsia"/>
          <w:color w:val="auto"/>
        </w:rPr>
        <w:t>供  方：</w:t>
      </w:r>
      <w:r>
        <w:rPr>
          <w:color w:val="auto"/>
        </w:rPr>
        <w:t>指按照本技术规格书的要求为</w:t>
      </w:r>
      <w:r>
        <w:rPr>
          <w:rFonts w:hint="eastAsia"/>
          <w:color w:val="auto"/>
        </w:rPr>
        <w:t>购方</w:t>
      </w:r>
      <w:r>
        <w:rPr>
          <w:color w:val="auto"/>
        </w:rPr>
        <w:t>设计、制造、提供成套</w:t>
      </w:r>
      <w:r>
        <w:rPr>
          <w:rFonts w:hint="eastAsia"/>
          <w:color w:val="auto"/>
        </w:rPr>
        <w:t>设备/材料</w:t>
      </w:r>
      <w:r>
        <w:rPr>
          <w:color w:val="auto"/>
        </w:rPr>
        <w:t>的公司或厂家</w:t>
      </w:r>
      <w:r>
        <w:rPr>
          <w:rFonts w:hint="eastAsia"/>
          <w:color w:val="auto"/>
        </w:rPr>
        <w:t>。</w:t>
      </w:r>
    </w:p>
    <w:p w14:paraId="3C19F611">
      <w:pPr>
        <w:pStyle w:val="92"/>
        <w:numPr>
          <w:ilvl w:val="1"/>
          <w:numId w:val="4"/>
        </w:numPr>
      </w:pPr>
      <w:r>
        <w:rPr>
          <w:rFonts w:hint="eastAsia"/>
        </w:rPr>
        <w:t>用词说明</w:t>
      </w:r>
    </w:p>
    <w:p w14:paraId="3D330BCB">
      <w:pPr>
        <w:pStyle w:val="90"/>
        <w:rPr>
          <w:color w:val="auto"/>
        </w:rPr>
      </w:pPr>
      <w:r>
        <w:rPr>
          <w:rFonts w:hint="eastAsia"/>
          <w:color w:val="auto"/>
        </w:rPr>
        <w:t>对本技术规格书中条文要求执行严格程度不同的用词，说明如下：</w:t>
      </w:r>
    </w:p>
    <w:p w14:paraId="32C7889F">
      <w:pPr>
        <w:pStyle w:val="96"/>
        <w:numPr>
          <w:ilvl w:val="0"/>
          <w:numId w:val="5"/>
        </w:numPr>
        <w:tabs>
          <w:tab w:val="clear" w:pos="855"/>
        </w:tabs>
        <w:ind w:firstLine="560"/>
        <w:rPr>
          <w:color w:val="auto"/>
        </w:rPr>
      </w:pPr>
      <w:r>
        <w:rPr>
          <w:rFonts w:hint="eastAsia"/>
          <w:color w:val="auto"/>
        </w:rPr>
        <w:t>表示很严格，非要这样做不可的用词：</w:t>
      </w:r>
    </w:p>
    <w:p w14:paraId="21F4D400">
      <w:pPr>
        <w:pStyle w:val="90"/>
        <w:rPr>
          <w:color w:val="auto"/>
        </w:rPr>
      </w:pPr>
      <w:r>
        <w:rPr>
          <w:rFonts w:hint="eastAsia"/>
          <w:color w:val="auto"/>
        </w:rPr>
        <w:t>正面词采用“</w:t>
      </w:r>
      <w:r>
        <w:rPr>
          <w:rFonts w:hint="eastAsia"/>
          <w:b/>
          <w:color w:val="auto"/>
        </w:rPr>
        <w:t>必须</w:t>
      </w:r>
      <w:r>
        <w:rPr>
          <w:rFonts w:hint="eastAsia"/>
          <w:color w:val="auto"/>
        </w:rPr>
        <w:t>”，反面词采用“</w:t>
      </w:r>
      <w:r>
        <w:rPr>
          <w:rFonts w:hint="eastAsia"/>
          <w:b/>
          <w:color w:val="auto"/>
        </w:rPr>
        <w:t>严禁</w:t>
      </w:r>
      <w:r>
        <w:rPr>
          <w:rFonts w:hint="eastAsia"/>
          <w:color w:val="auto"/>
        </w:rPr>
        <w:t>”。</w:t>
      </w:r>
    </w:p>
    <w:p w14:paraId="7E8AE1EA">
      <w:pPr>
        <w:pStyle w:val="96"/>
        <w:numPr>
          <w:ilvl w:val="0"/>
          <w:numId w:val="5"/>
        </w:numPr>
        <w:tabs>
          <w:tab w:val="clear" w:pos="855"/>
        </w:tabs>
        <w:ind w:firstLine="560"/>
        <w:rPr>
          <w:color w:val="auto"/>
        </w:rPr>
      </w:pPr>
      <w:r>
        <w:rPr>
          <w:rFonts w:hint="eastAsia"/>
          <w:color w:val="auto"/>
        </w:rPr>
        <w:t>表示严格，在正常情况下</w:t>
      </w:r>
      <w:r>
        <w:rPr>
          <w:rFonts w:hint="eastAsia"/>
          <w:b/>
          <w:color w:val="auto"/>
        </w:rPr>
        <w:t>应</w:t>
      </w:r>
      <w:r>
        <w:rPr>
          <w:rFonts w:hint="eastAsia"/>
          <w:color w:val="auto"/>
        </w:rPr>
        <w:t>这样做的用词：</w:t>
      </w:r>
    </w:p>
    <w:p w14:paraId="7C2EB6B2">
      <w:pPr>
        <w:pStyle w:val="90"/>
        <w:rPr>
          <w:color w:val="auto"/>
        </w:rPr>
      </w:pPr>
      <w:r>
        <w:rPr>
          <w:rFonts w:hint="eastAsia"/>
          <w:color w:val="auto"/>
        </w:rPr>
        <w:t>正面词采用“</w:t>
      </w:r>
      <w:r>
        <w:rPr>
          <w:rFonts w:hint="eastAsia"/>
          <w:b/>
          <w:color w:val="auto"/>
        </w:rPr>
        <w:t>应</w:t>
      </w:r>
      <w:r>
        <w:rPr>
          <w:rFonts w:hint="eastAsia"/>
          <w:color w:val="auto"/>
        </w:rPr>
        <w:t>”，反面词采用“</w:t>
      </w:r>
      <w:r>
        <w:rPr>
          <w:rFonts w:hint="eastAsia"/>
          <w:b/>
          <w:color w:val="auto"/>
        </w:rPr>
        <w:t>不应</w:t>
      </w:r>
      <w:r>
        <w:rPr>
          <w:rFonts w:hint="eastAsia"/>
          <w:color w:val="auto"/>
        </w:rPr>
        <w:t>”或“</w:t>
      </w:r>
      <w:r>
        <w:rPr>
          <w:rFonts w:hint="eastAsia"/>
          <w:b/>
          <w:color w:val="auto"/>
        </w:rPr>
        <w:t>不得</w:t>
      </w:r>
      <w:r>
        <w:rPr>
          <w:rFonts w:hint="eastAsia"/>
          <w:color w:val="auto"/>
        </w:rPr>
        <w:t>”。</w:t>
      </w:r>
    </w:p>
    <w:p w14:paraId="494C7DC7">
      <w:pPr>
        <w:pStyle w:val="96"/>
        <w:numPr>
          <w:ilvl w:val="0"/>
          <w:numId w:val="5"/>
        </w:numPr>
        <w:tabs>
          <w:tab w:val="clear" w:pos="855"/>
        </w:tabs>
        <w:ind w:firstLine="560"/>
        <w:rPr>
          <w:color w:val="auto"/>
        </w:rPr>
      </w:pPr>
      <w:r>
        <w:rPr>
          <w:rFonts w:hint="eastAsia"/>
          <w:color w:val="auto"/>
        </w:rPr>
        <w:t>表示允许稍有选择，在条件许可时首先这样做的用词：</w:t>
      </w:r>
    </w:p>
    <w:p w14:paraId="03DE6624">
      <w:pPr>
        <w:pStyle w:val="90"/>
        <w:rPr>
          <w:color w:val="auto"/>
        </w:rPr>
      </w:pPr>
      <w:r>
        <w:rPr>
          <w:rFonts w:hint="eastAsia"/>
          <w:color w:val="auto"/>
        </w:rPr>
        <w:t>正面词采用“</w:t>
      </w:r>
      <w:r>
        <w:rPr>
          <w:rFonts w:hint="eastAsia"/>
          <w:b/>
          <w:color w:val="auto"/>
        </w:rPr>
        <w:t>宜</w:t>
      </w:r>
      <w:r>
        <w:rPr>
          <w:rFonts w:hint="eastAsia"/>
          <w:color w:val="auto"/>
        </w:rPr>
        <w:t>”或“</w:t>
      </w:r>
      <w:r>
        <w:rPr>
          <w:rFonts w:hint="eastAsia"/>
          <w:b/>
          <w:color w:val="auto"/>
        </w:rPr>
        <w:t>可</w:t>
      </w:r>
      <w:r>
        <w:rPr>
          <w:rFonts w:hint="eastAsia"/>
          <w:color w:val="auto"/>
        </w:rPr>
        <w:t>”，反面词采用“</w:t>
      </w:r>
      <w:r>
        <w:rPr>
          <w:rFonts w:hint="eastAsia"/>
          <w:b/>
          <w:color w:val="auto"/>
        </w:rPr>
        <w:t>不宜</w:t>
      </w:r>
      <w:r>
        <w:rPr>
          <w:rFonts w:hint="eastAsia"/>
          <w:color w:val="auto"/>
        </w:rPr>
        <w:t>”。</w:t>
      </w:r>
    </w:p>
    <w:p w14:paraId="508FC725">
      <w:pPr>
        <w:pStyle w:val="94"/>
        <w:numPr>
          <w:ilvl w:val="0"/>
          <w:numId w:val="4"/>
        </w:numPr>
      </w:pPr>
      <w:bookmarkStart w:id="39" w:name="_Toc409539023"/>
      <w:bookmarkEnd w:id="39"/>
      <w:bookmarkStart w:id="40" w:name="_Toc409539025"/>
      <w:bookmarkEnd w:id="40"/>
      <w:bookmarkStart w:id="41" w:name="_Toc409539024"/>
      <w:bookmarkEnd w:id="41"/>
      <w:bookmarkStart w:id="42" w:name="_Toc2176"/>
      <w:r>
        <w:rPr>
          <w:rFonts w:hint="eastAsia"/>
        </w:rPr>
        <w:t>标准、规范和技术规定</w:t>
      </w:r>
      <w:bookmarkEnd w:id="27"/>
      <w:bookmarkEnd w:id="28"/>
      <w:bookmarkEnd w:id="29"/>
      <w:bookmarkEnd w:id="30"/>
      <w:bookmarkEnd w:id="31"/>
      <w:bookmarkEnd w:id="32"/>
      <w:bookmarkEnd w:id="33"/>
      <w:bookmarkEnd w:id="34"/>
      <w:bookmarkEnd w:id="35"/>
      <w:bookmarkEnd w:id="36"/>
      <w:bookmarkEnd w:id="37"/>
      <w:bookmarkEnd w:id="38"/>
      <w:bookmarkEnd w:id="42"/>
    </w:p>
    <w:p w14:paraId="298846CA">
      <w:pPr>
        <w:pStyle w:val="92"/>
        <w:numPr>
          <w:ilvl w:val="1"/>
          <w:numId w:val="4"/>
        </w:numPr>
      </w:pPr>
      <w:r>
        <w:rPr>
          <w:rFonts w:hint="eastAsia"/>
        </w:rPr>
        <w:t>阀门相关标准、规范</w:t>
      </w:r>
    </w:p>
    <w:p w14:paraId="60D03599">
      <w:pPr>
        <w:pStyle w:val="90"/>
        <w:rPr>
          <w:color w:val="auto"/>
        </w:rPr>
      </w:pPr>
      <w:r>
        <w:rPr>
          <w:rFonts w:hint="eastAsia"/>
          <w:color w:val="auto"/>
        </w:rPr>
        <w:t>阀门</w:t>
      </w:r>
      <w:r>
        <w:rPr>
          <w:rFonts w:hint="eastAsia"/>
          <w:b/>
          <w:color w:val="auto"/>
        </w:rPr>
        <w:t>应</w:t>
      </w:r>
      <w:r>
        <w:rPr>
          <w:rFonts w:hint="eastAsia"/>
          <w:color w:val="auto"/>
        </w:rPr>
        <w:t>满足所有适用标准、规范和规程的最新版的要求，并</w:t>
      </w:r>
      <w:r>
        <w:rPr>
          <w:rFonts w:hint="eastAsia"/>
          <w:b/>
          <w:color w:val="auto"/>
        </w:rPr>
        <w:t>应</w:t>
      </w:r>
      <w:r>
        <w:rPr>
          <w:rFonts w:hint="eastAsia"/>
          <w:color w:val="auto"/>
        </w:rPr>
        <w:t>执行其中最严格的要求。如果具体要求与本技术规格书相矛盾，在阀门开始制造前制造商</w:t>
      </w:r>
      <w:r>
        <w:rPr>
          <w:rFonts w:hint="eastAsia"/>
          <w:b/>
          <w:color w:val="auto"/>
        </w:rPr>
        <w:t>应</w:t>
      </w:r>
      <w:r>
        <w:rPr>
          <w:rFonts w:hint="eastAsia"/>
          <w:color w:val="auto"/>
        </w:rPr>
        <w:t>与购方协商，并获得购方的书面裁决。参考的标准、规范和规程如下：</w:t>
      </w:r>
    </w:p>
    <w:p w14:paraId="30881BF9">
      <w:pPr>
        <w:pStyle w:val="90"/>
        <w:rPr>
          <w:color w:val="auto"/>
        </w:rPr>
      </w:pPr>
      <w:r>
        <w:rPr>
          <w:rFonts w:hint="eastAsia"/>
          <w:color w:val="auto"/>
        </w:rPr>
        <w:t>API 6D        管线阀门</w:t>
      </w:r>
    </w:p>
    <w:p w14:paraId="7053A108">
      <w:pPr>
        <w:pStyle w:val="90"/>
        <w:rPr>
          <w:color w:val="auto"/>
        </w:rPr>
      </w:pPr>
      <w:r>
        <w:rPr>
          <w:rFonts w:hint="eastAsia"/>
          <w:color w:val="auto"/>
        </w:rPr>
        <w:t>API 6FA       阀门耐火试验</w:t>
      </w:r>
    </w:p>
    <w:p w14:paraId="01F11076">
      <w:pPr>
        <w:pStyle w:val="90"/>
        <w:rPr>
          <w:color w:val="auto"/>
        </w:rPr>
      </w:pPr>
      <w:r>
        <w:rPr>
          <w:rFonts w:hint="eastAsia"/>
          <w:color w:val="auto"/>
        </w:rPr>
        <w:t>API 607       转1/4周软阀座阀门的耐火试验</w:t>
      </w:r>
    </w:p>
    <w:p w14:paraId="442D30E6">
      <w:pPr>
        <w:pStyle w:val="90"/>
        <w:rPr>
          <w:color w:val="auto"/>
        </w:rPr>
      </w:pPr>
      <w:r>
        <w:rPr>
          <w:rFonts w:hint="eastAsia"/>
          <w:color w:val="auto"/>
        </w:rPr>
        <w:t>API 598       阀门检验与试验</w:t>
      </w:r>
    </w:p>
    <w:p w14:paraId="3C045BA5">
      <w:pPr>
        <w:pStyle w:val="90"/>
        <w:rPr>
          <w:color w:val="auto"/>
        </w:rPr>
      </w:pPr>
      <w:r>
        <w:rPr>
          <w:rFonts w:hint="eastAsia"/>
          <w:color w:val="auto"/>
        </w:rPr>
        <w:t>API 600       法兰和对焊连接的钢制闸阀</w:t>
      </w:r>
    </w:p>
    <w:p w14:paraId="0146F5C6">
      <w:pPr>
        <w:pStyle w:val="90"/>
        <w:rPr>
          <w:color w:val="auto"/>
        </w:rPr>
      </w:pPr>
      <w:r>
        <w:rPr>
          <w:rFonts w:hint="eastAsia"/>
          <w:color w:val="auto"/>
        </w:rPr>
        <w:t>MSS SP-44     管道钢制法兰</w:t>
      </w:r>
    </w:p>
    <w:p w14:paraId="37AB88EB">
      <w:pPr>
        <w:pStyle w:val="90"/>
        <w:rPr>
          <w:color w:val="auto"/>
        </w:rPr>
      </w:pPr>
      <w:r>
        <w:rPr>
          <w:rFonts w:hint="eastAsia"/>
          <w:color w:val="auto"/>
        </w:rPr>
        <w:t>ASME B16.34   阀门—法兰、螺纹和对焊端</w:t>
      </w:r>
    </w:p>
    <w:p w14:paraId="0F4C3542">
      <w:pPr>
        <w:pStyle w:val="90"/>
        <w:rPr>
          <w:color w:val="auto"/>
        </w:rPr>
      </w:pPr>
      <w:r>
        <w:rPr>
          <w:rFonts w:hint="eastAsia"/>
          <w:color w:val="auto"/>
        </w:rPr>
        <w:t>ASME B16.5    管法兰及带法兰的管件</w:t>
      </w:r>
    </w:p>
    <w:p w14:paraId="232ECA68">
      <w:pPr>
        <w:pStyle w:val="90"/>
        <w:rPr>
          <w:color w:val="auto"/>
        </w:rPr>
      </w:pPr>
      <w:r>
        <w:rPr>
          <w:color w:val="auto"/>
        </w:rPr>
        <w:t>ASME B16.</w:t>
      </w:r>
      <w:r>
        <w:rPr>
          <w:rFonts w:hint="eastAsia"/>
          <w:color w:val="auto"/>
        </w:rPr>
        <w:t>47</w:t>
      </w:r>
      <w:r>
        <w:rPr>
          <w:color w:val="auto"/>
        </w:rPr>
        <w:t xml:space="preserve"> </w:t>
      </w:r>
      <w:r>
        <w:rPr>
          <w:rFonts w:hint="eastAsia"/>
          <w:color w:val="auto"/>
        </w:rPr>
        <w:t xml:space="preserve">  A系列大口径钢制法兰</w:t>
      </w:r>
    </w:p>
    <w:p w14:paraId="267AB84F">
      <w:pPr>
        <w:pStyle w:val="90"/>
        <w:rPr>
          <w:color w:val="auto"/>
        </w:rPr>
      </w:pPr>
      <w:r>
        <w:rPr>
          <w:rFonts w:hint="eastAsia"/>
          <w:color w:val="auto"/>
        </w:rPr>
        <w:t>ASME B16.20   管道法兰用环垫式、螺旋缠绕式和夹层式金属垫片</w:t>
      </w:r>
    </w:p>
    <w:p w14:paraId="091311F7">
      <w:pPr>
        <w:pStyle w:val="92"/>
        <w:numPr>
          <w:ilvl w:val="1"/>
          <w:numId w:val="4"/>
        </w:numPr>
      </w:pPr>
      <w:r>
        <w:rPr>
          <w:rFonts w:hint="eastAsia"/>
        </w:rPr>
        <w:t>电动执行机构相关标准、规范</w:t>
      </w:r>
    </w:p>
    <w:p w14:paraId="00AA787D">
      <w:pPr>
        <w:pStyle w:val="90"/>
        <w:rPr>
          <w:color w:val="auto"/>
        </w:rPr>
      </w:pPr>
      <w:r>
        <w:rPr>
          <w:rFonts w:hint="eastAsia"/>
          <w:color w:val="auto"/>
        </w:rPr>
        <w:t>执行机构的设计和产品质量水平</w:t>
      </w:r>
      <w:r>
        <w:rPr>
          <w:rFonts w:hint="eastAsia"/>
          <w:b/>
          <w:color w:val="auto"/>
        </w:rPr>
        <w:t>应</w:t>
      </w:r>
      <w:r>
        <w:rPr>
          <w:rFonts w:hint="eastAsia"/>
          <w:color w:val="auto"/>
        </w:rPr>
        <w:t>满足以下规范和标准的最新版本及其修改部分的要求：</w:t>
      </w:r>
    </w:p>
    <w:p w14:paraId="20C48ECA">
      <w:pPr>
        <w:pStyle w:val="90"/>
        <w:rPr>
          <w:color w:val="auto"/>
        </w:rPr>
      </w:pPr>
      <w:r>
        <w:rPr>
          <w:rFonts w:hint="eastAsia"/>
          <w:color w:val="auto"/>
        </w:rPr>
        <w:t>CENELEC EN50014～50020欧洲电工技术标准化委员会电气规程；</w:t>
      </w:r>
    </w:p>
    <w:p w14:paraId="1B9EF7CF">
      <w:pPr>
        <w:pStyle w:val="90"/>
        <w:rPr>
          <w:color w:val="auto"/>
        </w:rPr>
      </w:pPr>
      <w:r>
        <w:rPr>
          <w:rFonts w:hint="eastAsia"/>
          <w:color w:val="auto"/>
        </w:rPr>
        <w:t>IEC-34   旋转式电机；</w:t>
      </w:r>
    </w:p>
    <w:p w14:paraId="5767BB9E">
      <w:pPr>
        <w:pStyle w:val="90"/>
        <w:rPr>
          <w:color w:val="auto"/>
        </w:rPr>
      </w:pPr>
      <w:r>
        <w:rPr>
          <w:rFonts w:hint="eastAsia"/>
          <w:color w:val="auto"/>
        </w:rPr>
        <w:t>IEC-72   旋转式电机的尺寸和输出功率；</w:t>
      </w:r>
    </w:p>
    <w:p w14:paraId="6C9B957F">
      <w:pPr>
        <w:pStyle w:val="90"/>
        <w:rPr>
          <w:color w:val="auto"/>
        </w:rPr>
      </w:pPr>
      <w:r>
        <w:rPr>
          <w:rFonts w:hint="eastAsia"/>
          <w:color w:val="auto"/>
        </w:rPr>
        <w:t>IEC 540  电缆绝缘和护层的检测方法；</w:t>
      </w:r>
    </w:p>
    <w:p w14:paraId="63E76275">
      <w:pPr>
        <w:pStyle w:val="90"/>
        <w:rPr>
          <w:color w:val="auto"/>
        </w:rPr>
      </w:pPr>
      <w:r>
        <w:rPr>
          <w:rFonts w:hint="eastAsia"/>
          <w:color w:val="auto"/>
        </w:rPr>
        <w:t>ISA      仪表标准和实验；</w:t>
      </w:r>
    </w:p>
    <w:p w14:paraId="2DE732B9">
      <w:pPr>
        <w:pStyle w:val="90"/>
        <w:rPr>
          <w:color w:val="auto"/>
        </w:rPr>
      </w:pPr>
      <w:r>
        <w:rPr>
          <w:rFonts w:hint="eastAsia"/>
          <w:color w:val="auto"/>
        </w:rPr>
        <w:t>ISO 529  外罩的防护等级(IP 规程)。</w:t>
      </w:r>
    </w:p>
    <w:p w14:paraId="62CFA2DC">
      <w:pPr>
        <w:pStyle w:val="94"/>
        <w:numPr>
          <w:ilvl w:val="0"/>
          <w:numId w:val="4"/>
        </w:numPr>
      </w:pPr>
      <w:bookmarkStart w:id="43" w:name="_Toc409212092"/>
      <w:bookmarkStart w:id="44" w:name="_Toc25036"/>
      <w:r>
        <w:rPr>
          <w:rFonts w:hint="eastAsia"/>
        </w:rPr>
        <w:t>环境条件和介质物性</w:t>
      </w:r>
      <w:bookmarkEnd w:id="43"/>
      <w:bookmarkEnd w:id="44"/>
    </w:p>
    <w:p w14:paraId="6B0BA692">
      <w:pPr>
        <w:pStyle w:val="92"/>
        <w:numPr>
          <w:ilvl w:val="1"/>
          <w:numId w:val="4"/>
        </w:numPr>
      </w:pPr>
      <w:bookmarkStart w:id="45" w:name="_Toc13044"/>
      <w:r>
        <w:rPr>
          <w:rFonts w:hint="eastAsia"/>
        </w:rPr>
        <w:t>环境条件</w:t>
      </w:r>
      <w:bookmarkEnd w:id="45"/>
    </w:p>
    <w:p w14:paraId="23B3CF21">
      <w:pPr>
        <w:pStyle w:val="90"/>
        <w:rPr>
          <w:color w:val="auto"/>
        </w:rPr>
      </w:pPr>
      <w:r>
        <w:rPr>
          <w:rFonts w:hint="eastAsia"/>
          <w:color w:val="auto"/>
        </w:rPr>
        <w:t>管道沿线的环境条件如下，所有设备</w:t>
      </w:r>
      <w:r>
        <w:rPr>
          <w:rFonts w:hint="eastAsia"/>
          <w:b/>
          <w:color w:val="auto"/>
        </w:rPr>
        <w:t>应</w:t>
      </w:r>
      <w:r>
        <w:rPr>
          <w:rFonts w:hint="eastAsia"/>
          <w:color w:val="auto"/>
        </w:rPr>
        <w:t>分别满足相应规格表中所列安装位置的要求。</w:t>
      </w:r>
    </w:p>
    <w:p w14:paraId="171BEB4A">
      <w:pPr>
        <w:tabs>
          <w:tab w:val="left" w:pos="425"/>
          <w:tab w:val="left" w:pos="567"/>
        </w:tabs>
        <w:suppressAutoHyphens/>
        <w:spacing w:line="360" w:lineRule="auto"/>
        <w:jc w:val="center"/>
        <w:rPr>
          <w:rFonts w:hAnsi="Arial"/>
          <w:b/>
          <w:bCs/>
        </w:rPr>
      </w:pPr>
      <w:bookmarkStart w:id="46" w:name="_Toc14234"/>
      <w:r>
        <w:rPr>
          <w:rFonts w:hint="eastAsia" w:hAnsi="Arial"/>
          <w:b/>
          <w:bCs/>
        </w:rPr>
        <w:t>表4.1-1  管道沿线主要气象要素特征表</w:t>
      </w:r>
    </w:p>
    <w:tbl>
      <w:tblPr>
        <w:tblStyle w:val="36"/>
        <w:tblW w:w="850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84"/>
        <w:gridCol w:w="3821"/>
      </w:tblGrid>
      <w:tr w14:paraId="41A6A8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9" w:hRule="atLeast"/>
        </w:trPr>
        <w:tc>
          <w:tcPr>
            <w:tcW w:w="4684" w:type="dxa"/>
            <w:vAlign w:val="center"/>
          </w:tcPr>
          <w:p w14:paraId="33B78273">
            <w:pPr>
              <w:spacing w:line="276" w:lineRule="auto"/>
              <w:jc w:val="center"/>
              <w:rPr>
                <w:rFonts w:ascii="黑体" w:hAnsi="黑体" w:eastAsia="黑体"/>
                <w:szCs w:val="21"/>
              </w:rPr>
            </w:pPr>
            <w:r>
              <w:rPr>
                <w:rFonts w:hint="eastAsia" w:ascii="黑体" w:hAnsi="黑体" w:eastAsia="黑体"/>
                <w:szCs w:val="21"/>
              </w:rPr>
              <w:t>地区</w:t>
            </w:r>
          </w:p>
        </w:tc>
        <w:tc>
          <w:tcPr>
            <w:tcW w:w="3821" w:type="dxa"/>
            <w:vAlign w:val="center"/>
          </w:tcPr>
          <w:p w14:paraId="513D42A5">
            <w:pPr>
              <w:spacing w:line="276" w:lineRule="auto"/>
              <w:jc w:val="center"/>
              <w:rPr>
                <w:rFonts w:ascii="黑体" w:hAnsi="黑体" w:eastAsia="黑体"/>
                <w:szCs w:val="21"/>
              </w:rPr>
            </w:pPr>
            <w:r>
              <w:rPr>
                <w:rFonts w:hint="eastAsia" w:ascii="黑体" w:hAnsi="黑体" w:eastAsia="黑体"/>
                <w:szCs w:val="21"/>
              </w:rPr>
              <w:t>淮安</w:t>
            </w:r>
          </w:p>
        </w:tc>
      </w:tr>
      <w:tr w14:paraId="5B13AF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02809609">
            <w:pPr>
              <w:spacing w:line="276" w:lineRule="auto"/>
              <w:jc w:val="center"/>
              <w:rPr>
                <w:rFonts w:ascii="黑体" w:hAnsi="黑体" w:eastAsia="黑体"/>
                <w:szCs w:val="21"/>
              </w:rPr>
            </w:pPr>
            <w:r>
              <w:rPr>
                <w:rFonts w:hint="eastAsia" w:ascii="黑体" w:hAnsi="黑体" w:eastAsia="黑体"/>
                <w:szCs w:val="21"/>
              </w:rPr>
              <w:t>极端最高气温,℃</w:t>
            </w:r>
          </w:p>
        </w:tc>
        <w:tc>
          <w:tcPr>
            <w:tcW w:w="3821" w:type="dxa"/>
            <w:vAlign w:val="center"/>
          </w:tcPr>
          <w:p w14:paraId="6635E5C0">
            <w:pPr>
              <w:spacing w:line="276" w:lineRule="auto"/>
              <w:jc w:val="center"/>
              <w:rPr>
                <w:rFonts w:ascii="黑体" w:hAnsi="黑体" w:eastAsia="黑体"/>
                <w:szCs w:val="21"/>
              </w:rPr>
            </w:pPr>
            <w:r>
              <w:rPr>
                <w:rFonts w:hint="eastAsia" w:ascii="黑体" w:hAnsi="黑体" w:eastAsia="黑体"/>
                <w:szCs w:val="21"/>
              </w:rPr>
              <w:t>39.5</w:t>
            </w:r>
          </w:p>
        </w:tc>
      </w:tr>
      <w:tr w14:paraId="463CD6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9" w:hRule="atLeast"/>
        </w:trPr>
        <w:tc>
          <w:tcPr>
            <w:tcW w:w="4684" w:type="dxa"/>
            <w:vAlign w:val="center"/>
          </w:tcPr>
          <w:p w14:paraId="398770AA">
            <w:pPr>
              <w:spacing w:line="276" w:lineRule="auto"/>
              <w:jc w:val="center"/>
              <w:rPr>
                <w:rFonts w:ascii="黑体" w:hAnsi="黑体" w:eastAsia="黑体"/>
                <w:szCs w:val="21"/>
              </w:rPr>
            </w:pPr>
            <w:r>
              <w:rPr>
                <w:rFonts w:hint="eastAsia" w:ascii="黑体" w:hAnsi="黑体" w:eastAsia="黑体"/>
                <w:szCs w:val="21"/>
              </w:rPr>
              <w:t>极端最低气温,℃</w:t>
            </w:r>
          </w:p>
        </w:tc>
        <w:tc>
          <w:tcPr>
            <w:tcW w:w="3821" w:type="dxa"/>
            <w:vAlign w:val="center"/>
          </w:tcPr>
          <w:p w14:paraId="57A0D0CE">
            <w:pPr>
              <w:spacing w:line="276" w:lineRule="auto"/>
              <w:jc w:val="center"/>
              <w:rPr>
                <w:rFonts w:ascii="黑体" w:hAnsi="黑体" w:eastAsia="黑体"/>
                <w:szCs w:val="21"/>
              </w:rPr>
            </w:pPr>
            <w:r>
              <w:rPr>
                <w:rFonts w:hint="eastAsia" w:ascii="黑体" w:hAnsi="黑体" w:eastAsia="黑体"/>
                <w:szCs w:val="21"/>
              </w:rPr>
              <w:t>-21.5</w:t>
            </w:r>
          </w:p>
        </w:tc>
      </w:tr>
      <w:tr w14:paraId="5DEF10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15507348">
            <w:pPr>
              <w:spacing w:line="276" w:lineRule="auto"/>
              <w:jc w:val="center"/>
              <w:rPr>
                <w:rFonts w:ascii="黑体" w:hAnsi="黑体" w:eastAsia="黑体"/>
                <w:szCs w:val="21"/>
              </w:rPr>
            </w:pPr>
            <w:r>
              <w:rPr>
                <w:rFonts w:hint="eastAsia" w:ascii="黑体" w:hAnsi="黑体" w:eastAsia="黑体"/>
                <w:szCs w:val="21"/>
              </w:rPr>
              <w:t>全年平均温度,℃</w:t>
            </w:r>
          </w:p>
        </w:tc>
        <w:tc>
          <w:tcPr>
            <w:tcW w:w="3821" w:type="dxa"/>
            <w:vAlign w:val="center"/>
          </w:tcPr>
          <w:p w14:paraId="5164AFE5">
            <w:pPr>
              <w:spacing w:line="276" w:lineRule="auto"/>
              <w:jc w:val="center"/>
              <w:rPr>
                <w:rFonts w:ascii="黑体" w:hAnsi="黑体" w:eastAsia="黑体"/>
                <w:szCs w:val="21"/>
              </w:rPr>
            </w:pPr>
            <w:r>
              <w:rPr>
                <w:rFonts w:ascii="黑体" w:hAnsi="黑体" w:eastAsia="黑体"/>
                <w:szCs w:val="21"/>
              </w:rPr>
              <w:t>14.8</w:t>
            </w:r>
          </w:p>
        </w:tc>
      </w:tr>
      <w:tr w14:paraId="0CB440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9" w:hRule="atLeast"/>
        </w:trPr>
        <w:tc>
          <w:tcPr>
            <w:tcW w:w="4684" w:type="dxa"/>
            <w:vAlign w:val="center"/>
          </w:tcPr>
          <w:p w14:paraId="2A30EC1B">
            <w:pPr>
              <w:spacing w:line="276" w:lineRule="auto"/>
              <w:jc w:val="center"/>
              <w:rPr>
                <w:rFonts w:ascii="黑体" w:hAnsi="黑体" w:eastAsia="黑体"/>
                <w:szCs w:val="21"/>
              </w:rPr>
            </w:pPr>
            <w:r>
              <w:rPr>
                <w:rFonts w:hint="eastAsia" w:ascii="黑体" w:hAnsi="黑体" w:eastAsia="黑体"/>
                <w:szCs w:val="21"/>
              </w:rPr>
              <w:t>年平均降雨量,mm</w:t>
            </w:r>
          </w:p>
        </w:tc>
        <w:tc>
          <w:tcPr>
            <w:tcW w:w="3821" w:type="dxa"/>
            <w:vAlign w:val="center"/>
          </w:tcPr>
          <w:p w14:paraId="649140F3">
            <w:pPr>
              <w:spacing w:line="276" w:lineRule="auto"/>
              <w:jc w:val="center"/>
              <w:rPr>
                <w:rFonts w:ascii="黑体" w:hAnsi="黑体" w:eastAsia="黑体"/>
                <w:szCs w:val="21"/>
              </w:rPr>
            </w:pPr>
            <w:r>
              <w:rPr>
                <w:rFonts w:hint="eastAsia" w:ascii="黑体" w:hAnsi="黑体" w:eastAsia="黑体"/>
                <w:szCs w:val="21"/>
              </w:rPr>
              <w:t>863.7</w:t>
            </w:r>
          </w:p>
        </w:tc>
      </w:tr>
      <w:tr w14:paraId="08C769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0AA3C95E">
            <w:pPr>
              <w:spacing w:line="276" w:lineRule="auto"/>
              <w:jc w:val="center"/>
              <w:rPr>
                <w:rFonts w:ascii="黑体" w:hAnsi="黑体" w:eastAsia="黑体"/>
                <w:szCs w:val="21"/>
              </w:rPr>
            </w:pPr>
            <w:r>
              <w:rPr>
                <w:rFonts w:hint="eastAsia" w:ascii="黑体" w:hAnsi="黑体" w:eastAsia="黑体"/>
                <w:szCs w:val="21"/>
              </w:rPr>
              <w:t>最大日降雨量,mm</w:t>
            </w:r>
          </w:p>
        </w:tc>
        <w:tc>
          <w:tcPr>
            <w:tcW w:w="3821" w:type="dxa"/>
            <w:vAlign w:val="center"/>
          </w:tcPr>
          <w:p w14:paraId="48C029C5">
            <w:pPr>
              <w:spacing w:line="276" w:lineRule="auto"/>
              <w:jc w:val="center"/>
              <w:rPr>
                <w:rFonts w:ascii="黑体" w:hAnsi="黑体" w:eastAsia="黑体"/>
                <w:szCs w:val="21"/>
              </w:rPr>
            </w:pPr>
            <w:r>
              <w:rPr>
                <w:rFonts w:hint="eastAsia" w:ascii="黑体" w:hAnsi="黑体" w:eastAsia="黑体"/>
                <w:szCs w:val="21"/>
              </w:rPr>
              <w:t>193.8</w:t>
            </w:r>
          </w:p>
        </w:tc>
      </w:tr>
      <w:tr w14:paraId="7C7559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7" w:hRule="atLeast"/>
        </w:trPr>
        <w:tc>
          <w:tcPr>
            <w:tcW w:w="4684" w:type="dxa"/>
            <w:vAlign w:val="center"/>
          </w:tcPr>
          <w:p w14:paraId="31C60906">
            <w:pPr>
              <w:spacing w:line="276" w:lineRule="auto"/>
              <w:jc w:val="center"/>
              <w:rPr>
                <w:rFonts w:ascii="黑体" w:hAnsi="黑体" w:eastAsia="黑体"/>
                <w:szCs w:val="21"/>
              </w:rPr>
            </w:pPr>
            <w:r>
              <w:rPr>
                <w:rFonts w:hint="eastAsia" w:ascii="黑体" w:hAnsi="黑体" w:eastAsia="黑体"/>
                <w:szCs w:val="21"/>
              </w:rPr>
              <w:t>全年主导风向</w:t>
            </w:r>
          </w:p>
        </w:tc>
        <w:tc>
          <w:tcPr>
            <w:tcW w:w="3821" w:type="dxa"/>
            <w:vAlign w:val="center"/>
          </w:tcPr>
          <w:p w14:paraId="01D24296">
            <w:pPr>
              <w:spacing w:line="276" w:lineRule="auto"/>
              <w:jc w:val="center"/>
              <w:rPr>
                <w:rFonts w:ascii="黑体" w:hAnsi="黑体" w:eastAsia="黑体"/>
                <w:szCs w:val="21"/>
              </w:rPr>
            </w:pPr>
            <w:r>
              <w:rPr>
                <w:rFonts w:hint="eastAsia" w:ascii="黑体" w:hAnsi="黑体" w:eastAsia="黑体"/>
                <w:szCs w:val="21"/>
              </w:rPr>
              <w:t xml:space="preserve">     SE、NE、E（9％）</w:t>
            </w:r>
          </w:p>
        </w:tc>
      </w:tr>
      <w:tr w14:paraId="78C04F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0F675517">
            <w:pPr>
              <w:spacing w:line="276" w:lineRule="auto"/>
              <w:jc w:val="center"/>
              <w:rPr>
                <w:rFonts w:ascii="黑体" w:hAnsi="黑体" w:eastAsia="黑体"/>
                <w:szCs w:val="21"/>
              </w:rPr>
            </w:pPr>
            <w:r>
              <w:rPr>
                <w:rFonts w:hint="eastAsia" w:ascii="黑体" w:hAnsi="黑体" w:eastAsia="黑体"/>
                <w:szCs w:val="21"/>
              </w:rPr>
              <w:t>年平均风速, m/s</w:t>
            </w:r>
          </w:p>
        </w:tc>
        <w:tc>
          <w:tcPr>
            <w:tcW w:w="3821" w:type="dxa"/>
            <w:vAlign w:val="center"/>
          </w:tcPr>
          <w:p w14:paraId="2E4C3A85">
            <w:pPr>
              <w:spacing w:line="276" w:lineRule="auto"/>
              <w:jc w:val="center"/>
              <w:rPr>
                <w:rFonts w:ascii="黑体" w:hAnsi="黑体" w:eastAsia="黑体"/>
                <w:szCs w:val="21"/>
              </w:rPr>
            </w:pPr>
            <w:r>
              <w:rPr>
                <w:rFonts w:hint="eastAsia" w:ascii="黑体" w:hAnsi="黑体" w:eastAsia="黑体"/>
                <w:szCs w:val="21"/>
              </w:rPr>
              <w:t>3.4</w:t>
            </w:r>
          </w:p>
        </w:tc>
      </w:tr>
      <w:tr w14:paraId="08943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2FF47C41">
            <w:pPr>
              <w:spacing w:line="276" w:lineRule="auto"/>
              <w:jc w:val="center"/>
              <w:rPr>
                <w:rFonts w:ascii="黑体" w:hAnsi="黑体" w:eastAsia="黑体"/>
                <w:szCs w:val="21"/>
              </w:rPr>
            </w:pPr>
            <w:r>
              <w:rPr>
                <w:rFonts w:hint="eastAsia" w:ascii="黑体" w:hAnsi="黑体" w:eastAsia="黑体"/>
                <w:szCs w:val="21"/>
              </w:rPr>
              <w:t>年平均相对湿度，％</w:t>
            </w:r>
          </w:p>
        </w:tc>
        <w:tc>
          <w:tcPr>
            <w:tcW w:w="3821" w:type="dxa"/>
            <w:vAlign w:val="center"/>
          </w:tcPr>
          <w:p w14:paraId="57971DD2">
            <w:pPr>
              <w:spacing w:line="276" w:lineRule="auto"/>
              <w:jc w:val="center"/>
              <w:rPr>
                <w:rFonts w:ascii="黑体" w:hAnsi="黑体" w:eastAsia="黑体"/>
                <w:szCs w:val="21"/>
              </w:rPr>
            </w:pPr>
            <w:r>
              <w:rPr>
                <w:rFonts w:hint="eastAsia" w:ascii="黑体" w:hAnsi="黑体" w:eastAsia="黑体"/>
                <w:szCs w:val="21"/>
              </w:rPr>
              <w:t xml:space="preserve"> 76</w:t>
            </w:r>
          </w:p>
        </w:tc>
      </w:tr>
      <w:tr w14:paraId="670114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1890BA18">
            <w:pPr>
              <w:spacing w:line="276" w:lineRule="auto"/>
              <w:jc w:val="center"/>
              <w:rPr>
                <w:rFonts w:ascii="黑体" w:hAnsi="黑体" w:eastAsia="黑体"/>
                <w:szCs w:val="21"/>
              </w:rPr>
            </w:pPr>
            <w:r>
              <w:rPr>
                <w:rFonts w:hint="eastAsia" w:ascii="黑体" w:hAnsi="黑体" w:eastAsia="黑体"/>
                <w:szCs w:val="21"/>
              </w:rPr>
              <w:t>年日照时间,h</w:t>
            </w:r>
          </w:p>
        </w:tc>
        <w:tc>
          <w:tcPr>
            <w:tcW w:w="3821" w:type="dxa"/>
            <w:vAlign w:val="center"/>
          </w:tcPr>
          <w:p w14:paraId="632629A8">
            <w:pPr>
              <w:spacing w:line="276" w:lineRule="auto"/>
              <w:jc w:val="center"/>
              <w:rPr>
                <w:rFonts w:ascii="黑体" w:hAnsi="黑体" w:eastAsia="黑体"/>
                <w:szCs w:val="21"/>
              </w:rPr>
            </w:pPr>
            <w:r>
              <w:rPr>
                <w:rFonts w:hint="eastAsia" w:ascii="黑体" w:hAnsi="黑体" w:eastAsia="黑体"/>
                <w:szCs w:val="21"/>
              </w:rPr>
              <w:t>2296.6</w:t>
            </w:r>
          </w:p>
        </w:tc>
      </w:tr>
      <w:tr w14:paraId="274453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rPr>
        <w:tc>
          <w:tcPr>
            <w:tcW w:w="4684" w:type="dxa"/>
            <w:vAlign w:val="center"/>
          </w:tcPr>
          <w:p w14:paraId="3754FDEA">
            <w:pPr>
              <w:spacing w:line="276" w:lineRule="auto"/>
              <w:jc w:val="center"/>
              <w:rPr>
                <w:rFonts w:ascii="黑体" w:hAnsi="黑体" w:eastAsia="黑体"/>
                <w:szCs w:val="21"/>
              </w:rPr>
            </w:pPr>
            <w:r>
              <w:rPr>
                <w:rFonts w:hint="eastAsia" w:ascii="黑体" w:hAnsi="黑体" w:eastAsia="黑体"/>
                <w:szCs w:val="21"/>
              </w:rPr>
              <w:t>最大冻土深度，cm</w:t>
            </w:r>
          </w:p>
        </w:tc>
        <w:tc>
          <w:tcPr>
            <w:tcW w:w="3821" w:type="dxa"/>
            <w:vAlign w:val="center"/>
          </w:tcPr>
          <w:p w14:paraId="76F8D602">
            <w:pPr>
              <w:spacing w:line="276" w:lineRule="auto"/>
              <w:jc w:val="center"/>
              <w:rPr>
                <w:rFonts w:ascii="黑体" w:hAnsi="黑体" w:eastAsia="黑体"/>
                <w:szCs w:val="21"/>
              </w:rPr>
            </w:pPr>
            <w:r>
              <w:rPr>
                <w:rFonts w:hint="eastAsia" w:ascii="黑体" w:hAnsi="黑体" w:eastAsia="黑体"/>
                <w:szCs w:val="21"/>
              </w:rPr>
              <w:t>60</w:t>
            </w:r>
          </w:p>
        </w:tc>
      </w:tr>
    </w:tbl>
    <w:p w14:paraId="323DD82F">
      <w:pPr>
        <w:pStyle w:val="92"/>
        <w:numPr>
          <w:ilvl w:val="1"/>
          <w:numId w:val="4"/>
        </w:numPr>
      </w:pPr>
      <w:r>
        <w:rPr>
          <w:rFonts w:hint="eastAsia"/>
        </w:rPr>
        <w:t>介质物性</w:t>
      </w:r>
      <w:bookmarkEnd w:id="46"/>
    </w:p>
    <w:p w14:paraId="386A5792">
      <w:pPr>
        <w:pStyle w:val="90"/>
        <w:rPr>
          <w:color w:val="auto"/>
        </w:rPr>
      </w:pPr>
      <w:r>
        <w:rPr>
          <w:rFonts w:hint="eastAsia"/>
          <w:color w:val="auto"/>
        </w:rPr>
        <w:t>本工程输送介质为卤水，具有一定腐蚀性，夹杂固体颗粒</w:t>
      </w:r>
      <w:r>
        <w:rPr>
          <w:rFonts w:hint="eastAsia" w:cs="宋体"/>
          <w:color w:val="auto"/>
        </w:rPr>
        <w:t>，</w:t>
      </w:r>
      <w:r>
        <w:rPr>
          <w:rFonts w:hint="eastAsia"/>
          <w:color w:val="auto"/>
        </w:rPr>
        <w:t>水质如下：</w:t>
      </w:r>
    </w:p>
    <w:p w14:paraId="27058DC6">
      <w:pPr>
        <w:spacing w:line="360" w:lineRule="auto"/>
        <w:ind w:firstLine="560"/>
        <w:rPr>
          <w:rFonts w:ascii="宋体"/>
          <w:spacing w:val="20"/>
        </w:rPr>
      </w:pPr>
      <w:r>
        <w:rPr>
          <w:rFonts w:hint="eastAsia" w:ascii="宋体"/>
          <w:spacing w:val="20"/>
        </w:rPr>
        <w:t>重度        1.08    g/cm</w:t>
      </w:r>
      <w:r>
        <w:rPr>
          <w:rFonts w:hint="eastAsia" w:ascii="宋体"/>
          <w:spacing w:val="20"/>
          <w:vertAlign w:val="superscript"/>
        </w:rPr>
        <w:t>3</w:t>
      </w:r>
      <w:r>
        <w:rPr>
          <w:rFonts w:hint="eastAsia" w:ascii="宋体"/>
          <w:spacing w:val="20"/>
        </w:rPr>
        <w:t xml:space="preserve">  (14℃)；</w:t>
      </w:r>
    </w:p>
    <w:p w14:paraId="1EB5D5C6">
      <w:pPr>
        <w:spacing w:line="360" w:lineRule="auto"/>
        <w:ind w:firstLine="560"/>
        <w:rPr>
          <w:rFonts w:ascii="宋体"/>
          <w:spacing w:val="20"/>
        </w:rPr>
      </w:pPr>
      <w:r>
        <w:rPr>
          <w:rFonts w:hint="eastAsia" w:ascii="宋体"/>
          <w:spacing w:val="20"/>
        </w:rPr>
        <w:t>粘度        1.80    mPa.S  (14℃)；</w:t>
      </w:r>
    </w:p>
    <w:p w14:paraId="107C0E38">
      <w:pPr>
        <w:spacing w:line="360" w:lineRule="auto"/>
        <w:ind w:firstLine="560"/>
        <w:rPr>
          <w:rFonts w:ascii="宋体"/>
          <w:spacing w:val="20"/>
        </w:rPr>
      </w:pPr>
      <w:r>
        <w:rPr>
          <w:rFonts w:hint="eastAsia" w:ascii="宋体"/>
          <w:spacing w:val="20"/>
        </w:rPr>
        <w:t xml:space="preserve">固相物约5%  </w:t>
      </w:r>
    </w:p>
    <w:p w14:paraId="0050081A">
      <w:pPr>
        <w:spacing w:line="360" w:lineRule="auto"/>
        <w:ind w:firstLine="560"/>
        <w:rPr>
          <w:rFonts w:ascii="宋体"/>
          <w:spacing w:val="20"/>
        </w:rPr>
      </w:pPr>
      <w:r>
        <w:rPr>
          <w:rFonts w:hint="eastAsia" w:ascii="宋体"/>
          <w:spacing w:val="20"/>
        </w:rPr>
        <w:t xml:space="preserve">PH值         12    </w:t>
      </w:r>
    </w:p>
    <w:p w14:paraId="54DA4F1C">
      <w:pPr>
        <w:spacing w:line="360" w:lineRule="auto"/>
        <w:ind w:firstLine="560"/>
        <w:rPr>
          <w:rFonts w:ascii="宋体"/>
          <w:spacing w:val="20"/>
        </w:rPr>
      </w:pPr>
      <w:r>
        <w:rPr>
          <w:rFonts w:hint="eastAsia" w:ascii="宋体"/>
          <w:spacing w:val="20"/>
        </w:rPr>
        <w:t>固含量       15~20%</w:t>
      </w:r>
    </w:p>
    <w:p w14:paraId="45F83300">
      <w:pPr>
        <w:pStyle w:val="90"/>
        <w:rPr>
          <w:color w:val="auto"/>
        </w:rPr>
      </w:pPr>
    </w:p>
    <w:p w14:paraId="1583DB3E">
      <w:pPr>
        <w:pStyle w:val="94"/>
        <w:numPr>
          <w:ilvl w:val="0"/>
          <w:numId w:val="4"/>
        </w:numPr>
      </w:pPr>
      <w:bookmarkStart w:id="47" w:name="_Toc16162"/>
      <w:bookmarkStart w:id="48" w:name="_Toc26868"/>
      <w:bookmarkStart w:id="49" w:name="_Toc16983"/>
      <w:bookmarkStart w:id="50" w:name="_Toc339469366"/>
      <w:bookmarkStart w:id="51" w:name="_Toc14060"/>
      <w:bookmarkStart w:id="52" w:name="_Toc12422"/>
      <w:bookmarkStart w:id="53" w:name="_Toc7727"/>
      <w:bookmarkStart w:id="54" w:name="_Toc6359"/>
      <w:bookmarkStart w:id="55" w:name="_Toc29296"/>
      <w:bookmarkStart w:id="56" w:name="_Toc18305"/>
      <w:bookmarkStart w:id="57" w:name="_Toc26599"/>
      <w:bookmarkStart w:id="58" w:name="_Toc24082"/>
      <w:r>
        <w:rPr>
          <w:rFonts w:hint="eastAsia"/>
        </w:rPr>
        <w:t>阀门</w:t>
      </w:r>
      <w:bookmarkEnd w:id="47"/>
    </w:p>
    <w:p w14:paraId="6A9A98AD">
      <w:pPr>
        <w:pStyle w:val="92"/>
        <w:numPr>
          <w:ilvl w:val="1"/>
          <w:numId w:val="4"/>
        </w:numPr>
      </w:pPr>
      <w:r>
        <w:rPr>
          <w:rFonts w:hint="eastAsia"/>
        </w:rPr>
        <w:t>总体要求</w:t>
      </w:r>
    </w:p>
    <w:p w14:paraId="3E897413">
      <w:pPr>
        <w:pStyle w:val="95"/>
        <w:numPr>
          <w:ilvl w:val="2"/>
          <w:numId w:val="4"/>
        </w:numPr>
      </w:pPr>
      <w:r>
        <w:rPr>
          <w:rFonts w:hint="eastAsia"/>
        </w:rPr>
        <w:t>阀门类型</w:t>
      </w:r>
    </w:p>
    <w:p w14:paraId="1A2744D4">
      <w:pPr>
        <w:pStyle w:val="90"/>
        <w:rPr>
          <w:color w:val="auto"/>
        </w:rPr>
      </w:pPr>
      <w:r>
        <w:rPr>
          <w:rFonts w:hint="eastAsia"/>
          <w:color w:val="auto"/>
        </w:rPr>
        <w:t>本技术规格书包括的阀门类型为有导流孔调节型平板闸阀，所有阀门按照采办文件要求均为法兰连接。</w:t>
      </w:r>
    </w:p>
    <w:bookmarkEnd w:id="48"/>
    <w:bookmarkEnd w:id="49"/>
    <w:bookmarkEnd w:id="50"/>
    <w:bookmarkEnd w:id="51"/>
    <w:bookmarkEnd w:id="52"/>
    <w:bookmarkEnd w:id="53"/>
    <w:bookmarkEnd w:id="54"/>
    <w:bookmarkEnd w:id="55"/>
    <w:bookmarkEnd w:id="56"/>
    <w:bookmarkEnd w:id="57"/>
    <w:bookmarkEnd w:id="58"/>
    <w:p w14:paraId="262A73A3">
      <w:pPr>
        <w:pStyle w:val="95"/>
        <w:numPr>
          <w:ilvl w:val="2"/>
          <w:numId w:val="4"/>
        </w:numPr>
      </w:pPr>
      <w:bookmarkStart w:id="59" w:name="_Toc30896"/>
      <w:r>
        <w:rPr>
          <w:rFonts w:hint="eastAsia"/>
        </w:rPr>
        <w:t>连接</w:t>
      </w:r>
      <w:bookmarkEnd w:id="59"/>
    </w:p>
    <w:p w14:paraId="1FDCCC16">
      <w:pPr>
        <w:pStyle w:val="96"/>
        <w:numPr>
          <w:ilvl w:val="0"/>
          <w:numId w:val="6"/>
        </w:numPr>
        <w:tabs>
          <w:tab w:val="clear" w:pos="855"/>
        </w:tabs>
        <w:ind w:firstLine="560"/>
        <w:rPr>
          <w:color w:val="auto"/>
        </w:rPr>
      </w:pPr>
      <w:r>
        <w:rPr>
          <w:rFonts w:hint="eastAsia"/>
          <w:color w:val="auto"/>
        </w:rPr>
        <w:t>阀门采用突面（</w:t>
      </w:r>
      <w:r>
        <w:rPr>
          <w:color w:val="auto"/>
        </w:rPr>
        <w:t>RF</w:t>
      </w:r>
      <w:r>
        <w:rPr>
          <w:rFonts w:hint="eastAsia"/>
          <w:color w:val="auto"/>
        </w:rPr>
        <w:t>）类型的标准法兰，法兰执行</w:t>
      </w:r>
      <w:r>
        <w:rPr>
          <w:color w:val="auto"/>
        </w:rPr>
        <w:t>ASME B16.5</w:t>
      </w:r>
      <w:r>
        <w:rPr>
          <w:rFonts w:hint="eastAsia"/>
          <w:color w:val="auto"/>
        </w:rPr>
        <w:t>（ B16.47）标准，</w:t>
      </w:r>
      <w:r>
        <w:rPr>
          <w:rFonts w:hint="eastAsia"/>
          <w:b/>
          <w:color w:val="auto"/>
        </w:rPr>
        <w:t>必须</w:t>
      </w:r>
      <w:r>
        <w:rPr>
          <w:rFonts w:hint="eastAsia"/>
          <w:color w:val="auto"/>
        </w:rPr>
        <w:t>达到阀门规格表规定的压力等级。</w:t>
      </w:r>
    </w:p>
    <w:p w14:paraId="6CA787C1">
      <w:pPr>
        <w:pStyle w:val="96"/>
        <w:numPr>
          <w:ilvl w:val="0"/>
          <w:numId w:val="5"/>
        </w:numPr>
        <w:tabs>
          <w:tab w:val="clear" w:pos="855"/>
        </w:tabs>
        <w:ind w:firstLine="560"/>
        <w:rPr>
          <w:rFonts w:cs="宋体"/>
          <w:color w:val="auto"/>
          <w:spacing w:val="23"/>
        </w:rPr>
      </w:pPr>
      <w:r>
        <w:rPr>
          <w:rFonts w:hint="eastAsia"/>
          <w:color w:val="auto"/>
        </w:rPr>
        <w:t>阀门制造商</w:t>
      </w:r>
      <w:r>
        <w:rPr>
          <w:rFonts w:hint="eastAsia"/>
          <w:b/>
          <w:color w:val="auto"/>
        </w:rPr>
        <w:t>必须</w:t>
      </w:r>
      <w:r>
        <w:rPr>
          <w:rFonts w:hint="eastAsia"/>
          <w:color w:val="auto"/>
        </w:rPr>
        <w:t>配套提供符合阀门规格表要求的配对法兰和带内外环金属缠绕式垫片、螺栓（ASTM A193 B7）、螺母（ASTM A194 2H）、垫圈等紧固件，垫片执行ASME B16.20，垫片及紧固件</w:t>
      </w:r>
      <w:r>
        <w:rPr>
          <w:rFonts w:hint="eastAsia"/>
          <w:b/>
          <w:color w:val="auto"/>
        </w:rPr>
        <w:t>必须</w:t>
      </w:r>
      <w:r>
        <w:rPr>
          <w:rFonts w:hint="eastAsia"/>
          <w:color w:val="auto"/>
        </w:rPr>
        <w:t>按相应压力等级配套，且保证法兰与管线焊接的可焊性，并</w:t>
      </w:r>
      <w:r>
        <w:rPr>
          <w:rFonts w:hint="eastAsia"/>
          <w:b/>
          <w:color w:val="auto"/>
        </w:rPr>
        <w:t>应</w:t>
      </w:r>
      <w:r>
        <w:rPr>
          <w:rFonts w:hint="eastAsia"/>
          <w:color w:val="auto"/>
        </w:rPr>
        <w:t>提供相应的制造图纸。</w:t>
      </w:r>
    </w:p>
    <w:p w14:paraId="56F7C103">
      <w:pPr>
        <w:pStyle w:val="95"/>
        <w:numPr>
          <w:ilvl w:val="2"/>
          <w:numId w:val="4"/>
        </w:numPr>
      </w:pPr>
      <w:r>
        <w:t xml:space="preserve"> </w:t>
      </w:r>
      <w:bookmarkStart w:id="60" w:name="_Toc30991"/>
      <w:r>
        <w:rPr>
          <w:rFonts w:hint="eastAsia"/>
        </w:rPr>
        <w:t>阀座和密封</w:t>
      </w:r>
      <w:bookmarkEnd w:id="60"/>
    </w:p>
    <w:p w14:paraId="353D3F95">
      <w:pPr>
        <w:pStyle w:val="96"/>
        <w:numPr>
          <w:ilvl w:val="0"/>
          <w:numId w:val="7"/>
        </w:numPr>
        <w:tabs>
          <w:tab w:val="left" w:pos="425"/>
          <w:tab w:val="left" w:pos="567"/>
          <w:tab w:val="clear" w:pos="855"/>
        </w:tabs>
        <w:suppressAutoHyphens/>
        <w:ind w:firstLine="560"/>
        <w:rPr>
          <w:color w:val="auto"/>
        </w:rPr>
      </w:pPr>
      <w:r>
        <w:rPr>
          <w:rFonts w:hint="eastAsia"/>
          <w:color w:val="auto"/>
        </w:rPr>
        <w:t>DN150的闸阀</w:t>
      </w:r>
      <w:r>
        <w:rPr>
          <w:rFonts w:hint="eastAsia"/>
          <w:b/>
          <w:color w:val="auto"/>
        </w:rPr>
        <w:t>应</w:t>
      </w:r>
      <w:r>
        <w:rPr>
          <w:rFonts w:hint="eastAsia"/>
          <w:color w:val="auto"/>
        </w:rPr>
        <w:t>设有在线带压下的二级阀座密封脂注入装置和可更换的上部阀杆密封。密封脂注入处</w:t>
      </w:r>
      <w:r>
        <w:rPr>
          <w:rFonts w:hint="eastAsia"/>
          <w:b/>
          <w:color w:val="auto"/>
        </w:rPr>
        <w:t>应</w:t>
      </w:r>
      <w:r>
        <w:rPr>
          <w:rFonts w:hint="eastAsia"/>
          <w:color w:val="auto"/>
        </w:rPr>
        <w:t>装配有单向阀和金属密封帽以保证存留压力的安全释放。制造商</w:t>
      </w:r>
      <w:r>
        <w:rPr>
          <w:rFonts w:hint="eastAsia"/>
          <w:b/>
          <w:color w:val="auto"/>
        </w:rPr>
        <w:t>应</w:t>
      </w:r>
      <w:r>
        <w:rPr>
          <w:rFonts w:hint="eastAsia"/>
          <w:color w:val="auto"/>
        </w:rPr>
        <w:t>建议适合于输送介质的密封脂类型。</w:t>
      </w:r>
    </w:p>
    <w:p w14:paraId="00739977">
      <w:pPr>
        <w:pStyle w:val="96"/>
        <w:numPr>
          <w:ilvl w:val="0"/>
          <w:numId w:val="5"/>
        </w:numPr>
        <w:tabs>
          <w:tab w:val="clear" w:pos="855"/>
        </w:tabs>
        <w:ind w:firstLine="560"/>
        <w:rPr>
          <w:color w:val="auto"/>
        </w:rPr>
      </w:pPr>
      <w:r>
        <w:rPr>
          <w:rFonts w:hint="eastAsia"/>
          <w:color w:val="auto"/>
        </w:rPr>
        <w:t>所有的金属阀座都</w:t>
      </w:r>
      <w:r>
        <w:rPr>
          <w:rFonts w:hint="eastAsia"/>
          <w:b/>
          <w:color w:val="auto"/>
        </w:rPr>
        <w:t>应</w:t>
      </w:r>
      <w:r>
        <w:rPr>
          <w:rFonts w:hint="eastAsia"/>
          <w:color w:val="auto"/>
        </w:rPr>
        <w:t>有适当的硬度，防止阀座在设计工况下被磨损。所有的阀座软材料等都</w:t>
      </w:r>
      <w:r>
        <w:rPr>
          <w:rFonts w:hint="eastAsia"/>
          <w:b/>
          <w:color w:val="auto"/>
        </w:rPr>
        <w:t>必须</w:t>
      </w:r>
      <w:r>
        <w:rPr>
          <w:rFonts w:hint="eastAsia"/>
          <w:color w:val="auto"/>
        </w:rPr>
        <w:t>适合于输送介质和操作温度。</w:t>
      </w:r>
    </w:p>
    <w:p w14:paraId="680BF0A6">
      <w:pPr>
        <w:pStyle w:val="95"/>
        <w:numPr>
          <w:ilvl w:val="2"/>
          <w:numId w:val="4"/>
        </w:numPr>
      </w:pPr>
      <w:r>
        <w:rPr>
          <w:rFonts w:hint="eastAsia"/>
        </w:rPr>
        <w:t xml:space="preserve"> </w:t>
      </w:r>
      <w:bookmarkStart w:id="61" w:name="_Toc22637"/>
      <w:r>
        <w:rPr>
          <w:rFonts w:hint="eastAsia"/>
        </w:rPr>
        <w:t>执行机构</w:t>
      </w:r>
      <w:bookmarkEnd w:id="61"/>
    </w:p>
    <w:p w14:paraId="3769FBBB">
      <w:pPr>
        <w:pStyle w:val="96"/>
        <w:numPr>
          <w:ilvl w:val="0"/>
          <w:numId w:val="8"/>
        </w:numPr>
        <w:tabs>
          <w:tab w:val="clear" w:pos="855"/>
        </w:tabs>
        <w:ind w:firstLine="560"/>
        <w:rPr>
          <w:color w:val="auto"/>
        </w:rPr>
      </w:pPr>
      <w:r>
        <w:rPr>
          <w:rFonts w:hint="eastAsia"/>
          <w:color w:val="auto"/>
        </w:rPr>
        <w:t>阀门</w:t>
      </w:r>
      <w:r>
        <w:rPr>
          <w:rFonts w:hint="eastAsia"/>
          <w:b/>
          <w:color w:val="auto"/>
        </w:rPr>
        <w:t>必须</w:t>
      </w:r>
      <w:r>
        <w:rPr>
          <w:rFonts w:hint="eastAsia"/>
          <w:color w:val="auto"/>
        </w:rPr>
        <w:t>适宜于装配规定的电动执行机构。在执行机构或控制系统出现故障时，</w:t>
      </w:r>
      <w:r>
        <w:rPr>
          <w:rFonts w:hint="eastAsia"/>
          <w:b/>
          <w:color w:val="auto"/>
        </w:rPr>
        <w:t>不得</w:t>
      </w:r>
      <w:r>
        <w:rPr>
          <w:rFonts w:hint="eastAsia"/>
          <w:color w:val="auto"/>
        </w:rPr>
        <w:t>影响阀门的其它任何部分，并可对故障进行在线维修和更换。阀门和执行机构整体</w:t>
      </w:r>
      <w:r>
        <w:rPr>
          <w:rFonts w:hint="eastAsia"/>
          <w:b/>
          <w:color w:val="auto"/>
        </w:rPr>
        <w:t>应</w:t>
      </w:r>
      <w:r>
        <w:rPr>
          <w:rFonts w:hint="eastAsia"/>
          <w:color w:val="auto"/>
        </w:rPr>
        <w:t>适合水平和垂直安装。</w:t>
      </w:r>
    </w:p>
    <w:p w14:paraId="03FF0798">
      <w:pPr>
        <w:pStyle w:val="96"/>
        <w:numPr>
          <w:ilvl w:val="0"/>
          <w:numId w:val="5"/>
        </w:numPr>
        <w:tabs>
          <w:tab w:val="clear" w:pos="855"/>
        </w:tabs>
        <w:ind w:firstLine="560"/>
        <w:rPr>
          <w:color w:val="auto"/>
        </w:rPr>
      </w:pPr>
      <w:r>
        <w:rPr>
          <w:rFonts w:hint="eastAsia"/>
          <w:color w:val="auto"/>
        </w:rPr>
        <w:t>阀门制造商</w:t>
      </w:r>
      <w:r>
        <w:rPr>
          <w:rFonts w:hint="eastAsia"/>
          <w:b/>
          <w:color w:val="auto"/>
        </w:rPr>
        <w:t>必须</w:t>
      </w:r>
      <w:r>
        <w:rPr>
          <w:rFonts w:hint="eastAsia"/>
          <w:color w:val="auto"/>
        </w:rPr>
        <w:t>提供相匹配的法兰，以便安装执行机构。阀门制造商</w:t>
      </w:r>
      <w:r>
        <w:rPr>
          <w:rFonts w:hint="eastAsia"/>
          <w:b/>
          <w:color w:val="auto"/>
        </w:rPr>
        <w:t>应</w:t>
      </w:r>
      <w:r>
        <w:rPr>
          <w:rFonts w:hint="eastAsia"/>
          <w:color w:val="auto"/>
        </w:rPr>
        <w:t>与执行机构制造商联系并负责提供执行机构设计所需的必要数据。由阀门制造商负责阀门和执行机构的组装调试及整体出厂。</w:t>
      </w:r>
    </w:p>
    <w:p w14:paraId="5A34ACFE">
      <w:pPr>
        <w:pStyle w:val="95"/>
        <w:numPr>
          <w:ilvl w:val="2"/>
          <w:numId w:val="4"/>
        </w:numPr>
      </w:pPr>
      <w:bookmarkStart w:id="62" w:name="_Toc12638"/>
      <w:bookmarkStart w:id="63" w:name="_Toc445800577"/>
      <w:r>
        <w:rPr>
          <w:rFonts w:hint="eastAsia"/>
        </w:rPr>
        <w:t>操作装置类型</w:t>
      </w:r>
      <w:bookmarkEnd w:id="62"/>
    </w:p>
    <w:p w14:paraId="7C0616A9">
      <w:pPr>
        <w:pStyle w:val="90"/>
        <w:rPr>
          <w:color w:val="auto"/>
        </w:rPr>
      </w:pPr>
      <w:r>
        <w:rPr>
          <w:rFonts w:hint="eastAsia"/>
          <w:color w:val="auto"/>
        </w:rPr>
        <w:t>闸阀</w:t>
      </w:r>
      <w:r>
        <w:rPr>
          <w:rFonts w:hint="eastAsia"/>
          <w:b/>
          <w:color w:val="auto"/>
        </w:rPr>
        <w:t>应</w:t>
      </w:r>
      <w:r>
        <w:rPr>
          <w:rFonts w:hint="eastAsia"/>
          <w:color w:val="auto"/>
        </w:rPr>
        <w:t>安装一个简单的操作装置，以便允许阀门在最大压差下进行操作。阀门</w:t>
      </w:r>
      <w:r>
        <w:rPr>
          <w:rFonts w:hint="eastAsia"/>
          <w:b/>
          <w:color w:val="auto"/>
        </w:rPr>
        <w:t>应</w:t>
      </w:r>
      <w:r>
        <w:rPr>
          <w:rFonts w:hint="eastAsia"/>
          <w:color w:val="auto"/>
        </w:rPr>
        <w:t>满足下列数值之一：</w:t>
      </w:r>
    </w:p>
    <w:bookmarkEnd w:id="63"/>
    <w:p w14:paraId="56A8CBF2">
      <w:pPr>
        <w:pStyle w:val="90"/>
        <w:rPr>
          <w:color w:val="auto"/>
        </w:rPr>
      </w:pPr>
      <w:r>
        <w:rPr>
          <w:rFonts w:hint="eastAsia"/>
          <w:color w:val="auto"/>
        </w:rPr>
        <w:t>利用扳手操作的最大开启力</w:t>
      </w:r>
      <w:r>
        <w:rPr>
          <w:color w:val="auto"/>
        </w:rPr>
        <w:t xml:space="preserve">     = </w:t>
      </w:r>
      <w:r>
        <w:rPr>
          <w:rFonts w:hint="eastAsia"/>
          <w:color w:val="auto"/>
        </w:rPr>
        <w:t>30</w:t>
      </w:r>
      <w:r>
        <w:rPr>
          <w:color w:val="auto"/>
        </w:rPr>
        <w:t>0 N</w:t>
      </w:r>
    </w:p>
    <w:p w14:paraId="3875A0B3">
      <w:pPr>
        <w:pStyle w:val="90"/>
        <w:rPr>
          <w:color w:val="auto"/>
        </w:rPr>
      </w:pPr>
      <w:r>
        <w:rPr>
          <w:rFonts w:hint="eastAsia"/>
          <w:color w:val="auto"/>
        </w:rPr>
        <w:t>利用齿轮操作的最大开启力</w:t>
      </w:r>
      <w:r>
        <w:rPr>
          <w:color w:val="auto"/>
        </w:rPr>
        <w:t xml:space="preserve">     = 22 N</w:t>
      </w:r>
    </w:p>
    <w:p w14:paraId="222B7978">
      <w:pPr>
        <w:pStyle w:val="90"/>
        <w:rPr>
          <w:color w:val="auto"/>
        </w:rPr>
      </w:pPr>
      <w:r>
        <w:rPr>
          <w:rFonts w:hint="eastAsia"/>
          <w:color w:val="auto"/>
        </w:rPr>
        <w:t>操作过程中的最大力</w:t>
      </w:r>
      <w:r>
        <w:rPr>
          <w:color w:val="auto"/>
        </w:rPr>
        <w:t xml:space="preserve">          = 15 N</w:t>
      </w:r>
    </w:p>
    <w:p w14:paraId="31FE0A3D">
      <w:pPr>
        <w:pStyle w:val="95"/>
        <w:numPr>
          <w:ilvl w:val="2"/>
          <w:numId w:val="4"/>
        </w:numPr>
      </w:pPr>
      <w:r>
        <w:rPr>
          <w:rFonts w:hint="eastAsia"/>
        </w:rPr>
        <w:t xml:space="preserve"> </w:t>
      </w:r>
      <w:bookmarkStart w:id="64" w:name="_Toc2552"/>
      <w:r>
        <w:rPr>
          <w:rFonts w:hint="eastAsia"/>
        </w:rPr>
        <w:t>省力齿轮</w:t>
      </w:r>
      <w:bookmarkEnd w:id="64"/>
    </w:p>
    <w:p w14:paraId="44D8BCDE">
      <w:pPr>
        <w:pStyle w:val="90"/>
        <w:rPr>
          <w:color w:val="auto"/>
        </w:rPr>
      </w:pPr>
      <w:r>
        <w:rPr>
          <w:rFonts w:hint="eastAsia"/>
          <w:color w:val="auto"/>
        </w:rPr>
        <w:t>当阀门的最大开启扭矩超过5.1.5要求的数值时，阀门</w:t>
      </w:r>
      <w:r>
        <w:rPr>
          <w:rFonts w:hint="eastAsia"/>
          <w:b/>
          <w:color w:val="auto"/>
        </w:rPr>
        <w:t>应</w:t>
      </w:r>
      <w:r>
        <w:rPr>
          <w:rFonts w:hint="eastAsia"/>
          <w:color w:val="auto"/>
        </w:rPr>
        <w:t>装配省力齿轮,手轮能够向上旋转</w:t>
      </w:r>
      <w:r>
        <w:rPr>
          <w:color w:val="auto"/>
        </w:rPr>
        <w:t>90</w:t>
      </w:r>
      <w:r>
        <w:rPr>
          <w:rFonts w:hint="eastAsia"/>
          <w:color w:val="auto"/>
        </w:rPr>
        <w:t>°。</w:t>
      </w:r>
    </w:p>
    <w:p w14:paraId="4B559C22">
      <w:pPr>
        <w:pStyle w:val="95"/>
        <w:numPr>
          <w:ilvl w:val="2"/>
          <w:numId w:val="4"/>
        </w:numPr>
      </w:pPr>
      <w:bookmarkStart w:id="65" w:name="_Toc26690"/>
      <w:r>
        <w:rPr>
          <w:rFonts w:hint="eastAsia"/>
        </w:rPr>
        <w:t>防静电</w:t>
      </w:r>
      <w:bookmarkEnd w:id="65"/>
    </w:p>
    <w:p w14:paraId="28715D0D">
      <w:pPr>
        <w:pStyle w:val="90"/>
        <w:rPr>
          <w:color w:val="auto"/>
        </w:rPr>
      </w:pPr>
      <w:r>
        <w:rPr>
          <w:rFonts w:hint="eastAsia"/>
          <w:color w:val="auto"/>
        </w:rPr>
        <w:t>阀门</w:t>
      </w:r>
      <w:r>
        <w:rPr>
          <w:rFonts w:hint="eastAsia"/>
          <w:b/>
          <w:color w:val="auto"/>
        </w:rPr>
        <w:t>应</w:t>
      </w:r>
      <w:r>
        <w:rPr>
          <w:rFonts w:hint="eastAsia"/>
          <w:color w:val="auto"/>
        </w:rPr>
        <w:t>装配有防静电装置，以保证阀杆与阀体之间的电路有效连续连通。</w:t>
      </w:r>
    </w:p>
    <w:p w14:paraId="4BA37384">
      <w:pPr>
        <w:pStyle w:val="95"/>
        <w:numPr>
          <w:ilvl w:val="2"/>
          <w:numId w:val="4"/>
        </w:numPr>
      </w:pPr>
      <w:r>
        <w:rPr>
          <w:rFonts w:hint="eastAsia"/>
        </w:rPr>
        <w:t xml:space="preserve"> </w:t>
      </w:r>
      <w:bookmarkStart w:id="66" w:name="_Toc30323"/>
      <w:r>
        <w:rPr>
          <w:rFonts w:hint="eastAsia"/>
        </w:rPr>
        <w:t>其它要求</w:t>
      </w:r>
      <w:bookmarkEnd w:id="66"/>
    </w:p>
    <w:p w14:paraId="191F9955">
      <w:pPr>
        <w:pStyle w:val="96"/>
        <w:numPr>
          <w:ilvl w:val="0"/>
          <w:numId w:val="9"/>
        </w:numPr>
        <w:tabs>
          <w:tab w:val="clear" w:pos="855"/>
        </w:tabs>
        <w:ind w:firstLine="560"/>
        <w:rPr>
          <w:rFonts w:hAnsi="Arial"/>
          <w:color w:val="auto"/>
        </w:rPr>
      </w:pPr>
      <w:r>
        <w:rPr>
          <w:rFonts w:hint="eastAsia"/>
          <w:color w:val="auto"/>
        </w:rPr>
        <w:t>阀门制造商</w:t>
      </w:r>
      <w:r>
        <w:rPr>
          <w:rFonts w:hint="eastAsia"/>
          <w:b/>
          <w:color w:val="auto"/>
        </w:rPr>
        <w:t>必须</w:t>
      </w:r>
      <w:r>
        <w:rPr>
          <w:rFonts w:hint="eastAsia"/>
          <w:color w:val="auto"/>
        </w:rPr>
        <w:t>在国内长输管线上有对应阀门（与本次所购阀门压力和口径同等）良好的应用业绩，且产品质量得到普遍认可。阀门制造商</w:t>
      </w:r>
      <w:r>
        <w:rPr>
          <w:rFonts w:hint="eastAsia"/>
          <w:b/>
          <w:color w:val="auto"/>
        </w:rPr>
        <w:t>应</w:t>
      </w:r>
      <w:r>
        <w:rPr>
          <w:rFonts w:hint="eastAsia"/>
          <w:color w:val="auto"/>
        </w:rPr>
        <w:t>保证阀门整体使用年限不低于30年，并提供同类型阀门用户使用的支持性证明</w:t>
      </w:r>
      <w:r>
        <w:rPr>
          <w:rFonts w:hint="eastAsia" w:hAnsi="Arial"/>
          <w:color w:val="auto"/>
        </w:rPr>
        <w:t>。</w:t>
      </w:r>
    </w:p>
    <w:p w14:paraId="25CEE2C5">
      <w:pPr>
        <w:pStyle w:val="96"/>
        <w:numPr>
          <w:ilvl w:val="0"/>
          <w:numId w:val="5"/>
        </w:numPr>
        <w:tabs>
          <w:tab w:val="clear" w:pos="855"/>
        </w:tabs>
        <w:ind w:firstLine="560"/>
        <w:rPr>
          <w:color w:val="auto"/>
        </w:rPr>
      </w:pPr>
      <w:r>
        <w:rPr>
          <w:rFonts w:hint="eastAsia"/>
          <w:color w:val="auto"/>
        </w:rPr>
        <w:t>所有的辅助连接</w:t>
      </w:r>
      <w:r>
        <w:rPr>
          <w:rFonts w:hint="eastAsia"/>
          <w:b/>
          <w:color w:val="auto"/>
        </w:rPr>
        <w:t>必须</w:t>
      </w:r>
      <w:r>
        <w:rPr>
          <w:rFonts w:hint="eastAsia"/>
          <w:color w:val="auto"/>
        </w:rPr>
        <w:t>与阀门和管件的压力等级相一致。</w:t>
      </w:r>
    </w:p>
    <w:p w14:paraId="6DFA8B75">
      <w:pPr>
        <w:pStyle w:val="96"/>
        <w:numPr>
          <w:ilvl w:val="0"/>
          <w:numId w:val="5"/>
        </w:numPr>
        <w:tabs>
          <w:tab w:val="clear" w:pos="855"/>
        </w:tabs>
        <w:ind w:firstLine="560"/>
        <w:rPr>
          <w:color w:val="auto"/>
        </w:rPr>
      </w:pPr>
      <w:r>
        <w:rPr>
          <w:rFonts w:hint="eastAsia"/>
          <w:color w:val="auto"/>
        </w:rPr>
        <w:t>DN150的阀体上</w:t>
      </w:r>
      <w:r>
        <w:rPr>
          <w:rFonts w:hint="eastAsia"/>
          <w:b/>
          <w:color w:val="auto"/>
        </w:rPr>
        <w:t>必须</w:t>
      </w:r>
      <w:r>
        <w:rPr>
          <w:rFonts w:hint="eastAsia"/>
          <w:color w:val="auto"/>
        </w:rPr>
        <w:t>设有吊耳，以便在维修、更换、运输和安装过程中，由提升机械吊装。</w:t>
      </w:r>
    </w:p>
    <w:p w14:paraId="232ECE9D">
      <w:pPr>
        <w:pStyle w:val="96"/>
        <w:numPr>
          <w:ilvl w:val="0"/>
          <w:numId w:val="5"/>
        </w:numPr>
        <w:tabs>
          <w:tab w:val="clear" w:pos="855"/>
        </w:tabs>
        <w:ind w:firstLine="560"/>
        <w:rPr>
          <w:color w:val="auto"/>
        </w:rPr>
      </w:pPr>
      <w:bookmarkStart w:id="67" w:name="_Toc445800581"/>
      <w:r>
        <w:rPr>
          <w:rFonts w:hint="eastAsia"/>
          <w:color w:val="auto"/>
        </w:rPr>
        <w:t>阀门操作杆或机械装置上</w:t>
      </w:r>
      <w:r>
        <w:rPr>
          <w:rFonts w:hint="eastAsia"/>
          <w:b/>
          <w:color w:val="auto"/>
        </w:rPr>
        <w:t>应</w:t>
      </w:r>
      <w:r>
        <w:rPr>
          <w:rFonts w:hint="eastAsia"/>
          <w:color w:val="auto"/>
        </w:rPr>
        <w:t>带有标准挂锁</w:t>
      </w:r>
      <w:bookmarkEnd w:id="67"/>
      <w:r>
        <w:rPr>
          <w:rFonts w:hint="eastAsia"/>
          <w:color w:val="auto"/>
        </w:rPr>
        <w:t>。</w:t>
      </w:r>
    </w:p>
    <w:p w14:paraId="6CA3010F">
      <w:pPr>
        <w:pStyle w:val="96"/>
        <w:numPr>
          <w:ilvl w:val="0"/>
          <w:numId w:val="5"/>
        </w:numPr>
        <w:tabs>
          <w:tab w:val="clear" w:pos="855"/>
        </w:tabs>
        <w:ind w:firstLine="560"/>
        <w:rPr>
          <w:color w:val="auto"/>
        </w:rPr>
      </w:pPr>
      <w:r>
        <w:rPr>
          <w:rFonts w:hint="eastAsia"/>
          <w:color w:val="auto"/>
        </w:rPr>
        <w:t>制造商</w:t>
      </w:r>
      <w:r>
        <w:rPr>
          <w:rFonts w:hint="eastAsia"/>
          <w:b/>
          <w:color w:val="auto"/>
        </w:rPr>
        <w:t>必须</w:t>
      </w:r>
      <w:r>
        <w:rPr>
          <w:rFonts w:hint="eastAsia"/>
          <w:color w:val="auto"/>
        </w:rPr>
        <w:t>在技术响应书中提供所有阀门部件的材料清单，并须经购方审查批准，任何对阀门材料的更改</w:t>
      </w:r>
      <w:r>
        <w:rPr>
          <w:rFonts w:hint="eastAsia"/>
          <w:b/>
          <w:color w:val="auto"/>
        </w:rPr>
        <w:t>必须</w:t>
      </w:r>
      <w:r>
        <w:rPr>
          <w:rFonts w:hint="eastAsia"/>
          <w:color w:val="auto"/>
        </w:rPr>
        <w:t>得到购方的书面授权。</w:t>
      </w:r>
    </w:p>
    <w:p w14:paraId="4302DB21">
      <w:pPr>
        <w:pStyle w:val="92"/>
        <w:numPr>
          <w:ilvl w:val="1"/>
          <w:numId w:val="4"/>
        </w:numPr>
        <w:rPr>
          <w:kern w:val="44"/>
        </w:rPr>
      </w:pPr>
      <w:bookmarkStart w:id="68" w:name="_Toc58226403"/>
      <w:bookmarkStart w:id="69" w:name="_Toc5851"/>
      <w:bookmarkStart w:id="70" w:name="_Toc7018"/>
      <w:bookmarkStart w:id="71" w:name="_Toc7986"/>
      <w:bookmarkStart w:id="72" w:name="_Toc9555"/>
      <w:bookmarkStart w:id="73" w:name="_Toc339469367"/>
      <w:bookmarkStart w:id="74" w:name="_Toc19201"/>
      <w:bookmarkStart w:id="75" w:name="_Toc23856"/>
      <w:bookmarkStart w:id="76" w:name="_Toc5185"/>
      <w:bookmarkStart w:id="77" w:name="_Toc23181"/>
      <w:bookmarkStart w:id="78" w:name="_Toc2863"/>
      <w:bookmarkStart w:id="79" w:name="_Toc1656"/>
      <w:r>
        <w:rPr>
          <w:rFonts w:hint="eastAsia"/>
          <w:kern w:val="44"/>
        </w:rPr>
        <w:t>阀门</w:t>
      </w:r>
      <w:bookmarkEnd w:id="68"/>
      <w:r>
        <w:rPr>
          <w:rFonts w:hint="eastAsia"/>
          <w:kern w:val="44"/>
        </w:rPr>
        <w:t>结构</w:t>
      </w:r>
      <w:bookmarkEnd w:id="69"/>
      <w:bookmarkEnd w:id="70"/>
      <w:bookmarkEnd w:id="71"/>
      <w:bookmarkEnd w:id="72"/>
      <w:bookmarkEnd w:id="73"/>
      <w:bookmarkEnd w:id="74"/>
      <w:bookmarkEnd w:id="75"/>
      <w:bookmarkEnd w:id="76"/>
      <w:bookmarkEnd w:id="77"/>
      <w:bookmarkEnd w:id="78"/>
      <w:bookmarkEnd w:id="79"/>
    </w:p>
    <w:p w14:paraId="66519CA8">
      <w:pPr>
        <w:pStyle w:val="96"/>
        <w:numPr>
          <w:ilvl w:val="0"/>
          <w:numId w:val="10"/>
        </w:numPr>
        <w:tabs>
          <w:tab w:val="clear" w:pos="855"/>
        </w:tabs>
        <w:ind w:firstLine="560"/>
        <w:rPr>
          <w:color w:val="auto"/>
        </w:rPr>
      </w:pPr>
      <w:r>
        <w:rPr>
          <w:rFonts w:hint="eastAsia"/>
          <w:color w:val="auto"/>
        </w:rPr>
        <w:t>要求平板闸阀均为全通径、有导流孔、硬密封调节型平板闸阀。</w:t>
      </w:r>
    </w:p>
    <w:p w14:paraId="32E46E69">
      <w:pPr>
        <w:pStyle w:val="96"/>
        <w:numPr>
          <w:ilvl w:val="0"/>
          <w:numId w:val="5"/>
        </w:numPr>
        <w:tabs>
          <w:tab w:val="clear" w:pos="855"/>
        </w:tabs>
        <w:ind w:firstLine="560"/>
        <w:rPr>
          <w:color w:val="auto"/>
        </w:rPr>
      </w:pPr>
      <w:r>
        <w:rPr>
          <w:rFonts w:hint="eastAsia"/>
          <w:color w:val="auto"/>
        </w:rPr>
        <w:t>平板闸阀内的闸板</w:t>
      </w:r>
      <w:r>
        <w:rPr>
          <w:rFonts w:hint="eastAsia"/>
          <w:b/>
          <w:color w:val="auto"/>
        </w:rPr>
        <w:t>应</w:t>
      </w:r>
      <w:r>
        <w:rPr>
          <w:rFonts w:hint="eastAsia"/>
          <w:color w:val="auto"/>
        </w:rPr>
        <w:t>是单片型。调节型平板闸阀的阀座密封面</w:t>
      </w:r>
      <w:r>
        <w:rPr>
          <w:rFonts w:hint="eastAsia"/>
          <w:b/>
          <w:color w:val="auto"/>
        </w:rPr>
        <w:t>应</w:t>
      </w:r>
      <w:r>
        <w:rPr>
          <w:rFonts w:hint="eastAsia"/>
          <w:color w:val="auto"/>
        </w:rPr>
        <w:t>采用堆焊</w:t>
      </w:r>
      <w:r>
        <w:rPr>
          <w:color w:val="auto"/>
        </w:rPr>
        <w:t>Stellite</w:t>
      </w:r>
      <w:r>
        <w:rPr>
          <w:rFonts w:hint="eastAsia"/>
          <w:color w:val="auto"/>
        </w:rPr>
        <w:t xml:space="preserve"> 6；堆焊</w:t>
      </w:r>
      <w:r>
        <w:rPr>
          <w:color w:val="auto"/>
        </w:rPr>
        <w:t>Stellite</w:t>
      </w:r>
      <w:r>
        <w:rPr>
          <w:rFonts w:hint="eastAsia"/>
          <w:color w:val="auto"/>
        </w:rPr>
        <w:t xml:space="preserve"> 6合金层的厚度在阀门组装完成时</w:t>
      </w:r>
      <w:r>
        <w:rPr>
          <w:rFonts w:hint="eastAsia"/>
          <w:b/>
          <w:color w:val="auto"/>
        </w:rPr>
        <w:t>不得</w:t>
      </w:r>
      <w:r>
        <w:rPr>
          <w:rFonts w:hint="eastAsia"/>
          <w:color w:val="auto"/>
        </w:rPr>
        <w:t>小于1.5mm，阀板和阀座</w:t>
      </w:r>
      <w:r>
        <w:rPr>
          <w:rFonts w:hint="eastAsia"/>
          <w:b/>
          <w:color w:val="auto"/>
        </w:rPr>
        <w:t>应</w:t>
      </w:r>
      <w:r>
        <w:rPr>
          <w:rFonts w:hint="eastAsia"/>
          <w:color w:val="auto"/>
        </w:rPr>
        <w:t>耐冲刷。</w:t>
      </w:r>
    </w:p>
    <w:p w14:paraId="6D3E9D8E">
      <w:pPr>
        <w:pStyle w:val="96"/>
        <w:numPr>
          <w:ilvl w:val="0"/>
          <w:numId w:val="5"/>
        </w:numPr>
        <w:tabs>
          <w:tab w:val="clear" w:pos="855"/>
        </w:tabs>
        <w:ind w:firstLine="560"/>
        <w:rPr>
          <w:color w:val="auto"/>
        </w:rPr>
      </w:pPr>
      <w:r>
        <w:rPr>
          <w:rFonts w:hint="eastAsia"/>
          <w:color w:val="auto"/>
        </w:rPr>
        <w:t>阀杆整体采用不锈钢，阀杆</w:t>
      </w:r>
      <w:r>
        <w:rPr>
          <w:rFonts w:hint="eastAsia"/>
          <w:b/>
          <w:color w:val="auto"/>
        </w:rPr>
        <w:t>应</w:t>
      </w:r>
      <w:r>
        <w:rPr>
          <w:rFonts w:hint="eastAsia"/>
          <w:color w:val="auto"/>
        </w:rPr>
        <w:t>采用</w:t>
      </w:r>
      <w:r>
        <w:rPr>
          <w:color w:val="auto"/>
        </w:rPr>
        <w:t>O</w:t>
      </w:r>
      <w:r>
        <w:rPr>
          <w:rFonts w:hint="eastAsia"/>
          <w:color w:val="auto"/>
        </w:rPr>
        <w:t>型密封和填料密封。阀杆的填料</w:t>
      </w:r>
      <w:r>
        <w:rPr>
          <w:rFonts w:hint="eastAsia"/>
          <w:b/>
          <w:color w:val="auto"/>
        </w:rPr>
        <w:t>必须</w:t>
      </w:r>
      <w:r>
        <w:rPr>
          <w:rFonts w:hint="eastAsia"/>
          <w:color w:val="auto"/>
        </w:rPr>
        <w:t>可在线更换。</w:t>
      </w:r>
    </w:p>
    <w:p w14:paraId="29CAC710">
      <w:pPr>
        <w:pStyle w:val="96"/>
        <w:numPr>
          <w:ilvl w:val="0"/>
          <w:numId w:val="5"/>
        </w:numPr>
        <w:tabs>
          <w:tab w:val="clear" w:pos="855"/>
        </w:tabs>
        <w:ind w:firstLine="560"/>
        <w:rPr>
          <w:color w:val="auto"/>
        </w:rPr>
      </w:pPr>
      <w:r>
        <w:rPr>
          <w:rFonts w:hint="eastAsia"/>
          <w:color w:val="auto"/>
        </w:rPr>
        <w:t>平板闸阀</w:t>
      </w:r>
      <w:r>
        <w:rPr>
          <w:rFonts w:hint="eastAsia"/>
          <w:b/>
          <w:color w:val="auto"/>
        </w:rPr>
        <w:t>必须</w:t>
      </w:r>
      <w:r>
        <w:rPr>
          <w:rFonts w:hint="eastAsia"/>
          <w:color w:val="auto"/>
        </w:rPr>
        <w:t>具备双向密封阀座。所有阀门的阀座</w:t>
      </w:r>
      <w:r>
        <w:rPr>
          <w:rFonts w:hint="eastAsia"/>
          <w:b/>
          <w:color w:val="auto"/>
        </w:rPr>
        <w:t>应</w:t>
      </w:r>
      <w:r>
        <w:rPr>
          <w:rFonts w:hint="eastAsia"/>
          <w:color w:val="auto"/>
        </w:rPr>
        <w:t>采用锻钢并</w:t>
      </w:r>
      <w:r>
        <w:rPr>
          <w:rFonts w:hint="eastAsia"/>
          <w:b/>
          <w:color w:val="auto"/>
        </w:rPr>
        <w:t>应</w:t>
      </w:r>
      <w:r>
        <w:rPr>
          <w:rFonts w:hint="eastAsia"/>
          <w:color w:val="auto"/>
        </w:rPr>
        <w:t>进行表面氮化处理，氮化层厚度</w:t>
      </w:r>
      <w:r>
        <w:rPr>
          <w:rFonts w:hint="eastAsia"/>
          <w:b/>
          <w:color w:val="auto"/>
        </w:rPr>
        <w:t>不得</w:t>
      </w:r>
      <w:r>
        <w:rPr>
          <w:rFonts w:hint="eastAsia"/>
          <w:color w:val="auto"/>
        </w:rPr>
        <w:t>不小于25μ</w:t>
      </w:r>
      <w:r>
        <w:rPr>
          <w:color w:val="auto"/>
        </w:rPr>
        <w:t>m</w:t>
      </w:r>
      <w:r>
        <w:rPr>
          <w:rFonts w:hint="eastAsia"/>
          <w:color w:val="auto"/>
        </w:rPr>
        <w:t>。</w:t>
      </w:r>
    </w:p>
    <w:p w14:paraId="3BE1F8EA">
      <w:pPr>
        <w:pStyle w:val="96"/>
        <w:numPr>
          <w:ilvl w:val="0"/>
          <w:numId w:val="5"/>
        </w:numPr>
        <w:tabs>
          <w:tab w:val="clear" w:pos="855"/>
        </w:tabs>
        <w:ind w:firstLine="560"/>
        <w:rPr>
          <w:color w:val="auto"/>
        </w:rPr>
      </w:pPr>
      <w:r>
        <w:rPr>
          <w:rFonts w:hint="eastAsia"/>
          <w:color w:val="auto"/>
        </w:rPr>
        <w:t>闸板</w:t>
      </w:r>
      <w:r>
        <w:rPr>
          <w:rFonts w:hint="eastAsia"/>
          <w:b/>
          <w:color w:val="auto"/>
        </w:rPr>
        <w:t>应</w:t>
      </w:r>
      <w:r>
        <w:rPr>
          <w:rFonts w:hint="eastAsia"/>
          <w:color w:val="auto"/>
        </w:rPr>
        <w:t>有</w:t>
      </w:r>
      <w:r>
        <w:rPr>
          <w:rFonts w:hint="eastAsia"/>
          <w:b/>
          <w:color w:val="auto"/>
        </w:rPr>
        <w:t>不得</w:t>
      </w:r>
      <w:r>
        <w:rPr>
          <w:rFonts w:hint="eastAsia"/>
          <w:color w:val="auto"/>
        </w:rPr>
        <w:t>不小于50μ</w:t>
      </w:r>
      <w:r>
        <w:rPr>
          <w:color w:val="auto"/>
        </w:rPr>
        <w:t>m</w:t>
      </w:r>
      <w:r>
        <w:rPr>
          <w:rFonts w:hint="eastAsia"/>
          <w:color w:val="auto"/>
        </w:rPr>
        <w:t>厚的化学镀镍层，以避免腐蚀或氧化。</w:t>
      </w:r>
    </w:p>
    <w:p w14:paraId="18186E25">
      <w:pPr>
        <w:pStyle w:val="96"/>
        <w:numPr>
          <w:ilvl w:val="0"/>
          <w:numId w:val="5"/>
        </w:numPr>
        <w:tabs>
          <w:tab w:val="clear" w:pos="855"/>
        </w:tabs>
        <w:ind w:firstLine="560"/>
        <w:rPr>
          <w:color w:val="auto"/>
        </w:rPr>
      </w:pPr>
      <w:r>
        <w:rPr>
          <w:rFonts w:hint="eastAsia"/>
          <w:color w:val="auto"/>
        </w:rPr>
        <w:t>导流孔平板闸阀的导流孔</w:t>
      </w:r>
      <w:r>
        <w:rPr>
          <w:rFonts w:hint="eastAsia"/>
          <w:b/>
          <w:color w:val="auto"/>
        </w:rPr>
        <w:t>必须</w:t>
      </w:r>
      <w:r>
        <w:rPr>
          <w:rFonts w:hint="eastAsia"/>
          <w:color w:val="auto"/>
        </w:rPr>
        <w:t>为完整圆孔且</w:t>
      </w:r>
      <w:r>
        <w:rPr>
          <w:rFonts w:hint="eastAsia"/>
          <w:b/>
          <w:color w:val="auto"/>
        </w:rPr>
        <w:t>不得</w:t>
      </w:r>
      <w:r>
        <w:rPr>
          <w:rFonts w:hint="eastAsia"/>
          <w:color w:val="auto"/>
        </w:rPr>
        <w:t>小于进出口法兰内径。</w:t>
      </w:r>
    </w:p>
    <w:p w14:paraId="493B20C8">
      <w:pPr>
        <w:pStyle w:val="96"/>
        <w:numPr>
          <w:ilvl w:val="0"/>
          <w:numId w:val="5"/>
        </w:numPr>
        <w:tabs>
          <w:tab w:val="clear" w:pos="855"/>
        </w:tabs>
        <w:ind w:firstLine="560"/>
        <w:rPr>
          <w:color w:val="auto"/>
        </w:rPr>
      </w:pPr>
      <w:r>
        <w:rPr>
          <w:rFonts w:hint="eastAsia"/>
          <w:color w:val="auto"/>
        </w:rPr>
        <w:t>DN150阀门的阀座</w:t>
      </w:r>
      <w:r>
        <w:rPr>
          <w:rFonts w:hint="eastAsia"/>
          <w:b/>
          <w:color w:val="auto"/>
        </w:rPr>
        <w:t>必须</w:t>
      </w:r>
      <w:r>
        <w:rPr>
          <w:rFonts w:hint="eastAsia"/>
          <w:color w:val="auto"/>
        </w:rPr>
        <w:t>采用校准过的</w:t>
      </w:r>
      <w:r>
        <w:rPr>
          <w:color w:val="auto"/>
        </w:rPr>
        <w:t>Inconel X750</w:t>
      </w:r>
      <w:r>
        <w:rPr>
          <w:rFonts w:hint="eastAsia"/>
          <w:color w:val="auto"/>
        </w:rPr>
        <w:t>弹簧预紧，使阀座和闸板间保持接触。</w:t>
      </w:r>
    </w:p>
    <w:p w14:paraId="143E70FF">
      <w:pPr>
        <w:pStyle w:val="96"/>
        <w:numPr>
          <w:ilvl w:val="0"/>
          <w:numId w:val="5"/>
        </w:numPr>
        <w:tabs>
          <w:tab w:val="clear" w:pos="855"/>
        </w:tabs>
        <w:ind w:firstLine="560"/>
        <w:rPr>
          <w:color w:val="auto"/>
        </w:rPr>
      </w:pPr>
      <w:r>
        <w:rPr>
          <w:rFonts w:hint="eastAsia"/>
          <w:color w:val="auto"/>
        </w:rPr>
        <w:t>阀门</w:t>
      </w:r>
      <w:r>
        <w:rPr>
          <w:rFonts w:hint="eastAsia"/>
          <w:b/>
          <w:color w:val="auto"/>
        </w:rPr>
        <w:t>应</w:t>
      </w:r>
      <w:r>
        <w:rPr>
          <w:rFonts w:hint="eastAsia"/>
          <w:color w:val="auto"/>
        </w:rPr>
        <w:t>具有双阻塞与双排放功能（DBB）功能，并</w:t>
      </w:r>
      <w:r>
        <w:rPr>
          <w:rFonts w:hint="eastAsia"/>
          <w:b/>
          <w:color w:val="auto"/>
        </w:rPr>
        <w:t>应</w:t>
      </w:r>
      <w:r>
        <w:rPr>
          <w:rFonts w:hint="eastAsia"/>
          <w:color w:val="auto"/>
        </w:rPr>
        <w:t>能在全压差下正常启闭。</w:t>
      </w:r>
      <w:r>
        <w:rPr>
          <w:rFonts w:hint="eastAsia"/>
          <w:b/>
          <w:color w:val="auto"/>
        </w:rPr>
        <w:t>应</w:t>
      </w:r>
      <w:r>
        <w:rPr>
          <w:rFonts w:hint="eastAsia"/>
          <w:color w:val="auto"/>
        </w:rPr>
        <w:t>配有放空和排污系统，以确保在适当的排放后且阀门处于全开状态时，阀座装置上无泄漏发生。</w:t>
      </w:r>
      <w:bookmarkStart w:id="80" w:name="_Toc445800568"/>
    </w:p>
    <w:bookmarkEnd w:id="80"/>
    <w:p w14:paraId="2BA3A92A">
      <w:pPr>
        <w:pStyle w:val="92"/>
        <w:numPr>
          <w:ilvl w:val="1"/>
          <w:numId w:val="4"/>
        </w:numPr>
        <w:rPr>
          <w:kern w:val="44"/>
        </w:rPr>
      </w:pPr>
      <w:bookmarkStart w:id="81" w:name="_Toc26097"/>
      <w:bookmarkStart w:id="82" w:name="_Toc12608"/>
      <w:bookmarkStart w:id="83" w:name="_Toc20596"/>
      <w:bookmarkStart w:id="84" w:name="_Toc29419"/>
      <w:bookmarkStart w:id="85" w:name="_Toc2949"/>
      <w:bookmarkStart w:id="86" w:name="_Toc4123"/>
      <w:bookmarkStart w:id="87" w:name="_Toc17665"/>
      <w:bookmarkStart w:id="88" w:name="_Toc12564"/>
      <w:bookmarkStart w:id="89" w:name="_Toc339469368"/>
      <w:bookmarkStart w:id="90" w:name="_Toc22584"/>
      <w:bookmarkStart w:id="91" w:name="_Toc12912"/>
      <w:bookmarkStart w:id="92" w:name="_Toc58226404"/>
      <w:r>
        <w:rPr>
          <w:rFonts w:hint="eastAsia"/>
          <w:kern w:val="44"/>
        </w:rPr>
        <w:t>阀门材料</w:t>
      </w:r>
      <w:bookmarkEnd w:id="81"/>
      <w:bookmarkEnd w:id="82"/>
      <w:bookmarkEnd w:id="83"/>
      <w:bookmarkEnd w:id="84"/>
      <w:bookmarkEnd w:id="85"/>
      <w:bookmarkEnd w:id="86"/>
      <w:bookmarkEnd w:id="87"/>
      <w:bookmarkEnd w:id="88"/>
      <w:bookmarkEnd w:id="89"/>
      <w:bookmarkEnd w:id="90"/>
      <w:bookmarkEnd w:id="91"/>
      <w:bookmarkEnd w:id="92"/>
    </w:p>
    <w:p w14:paraId="25785961">
      <w:pPr>
        <w:pStyle w:val="95"/>
        <w:numPr>
          <w:ilvl w:val="2"/>
          <w:numId w:val="4"/>
        </w:numPr>
      </w:pPr>
      <w:bookmarkStart w:id="93" w:name="_Toc11416"/>
      <w:r>
        <w:rPr>
          <w:rFonts w:hint="eastAsia"/>
        </w:rPr>
        <w:t>材料选择</w:t>
      </w:r>
      <w:bookmarkEnd w:id="93"/>
    </w:p>
    <w:p w14:paraId="2AB21E90">
      <w:pPr>
        <w:pStyle w:val="96"/>
        <w:numPr>
          <w:ilvl w:val="0"/>
          <w:numId w:val="11"/>
        </w:numPr>
        <w:tabs>
          <w:tab w:val="clear" w:pos="855"/>
        </w:tabs>
        <w:ind w:firstLine="560"/>
        <w:rPr>
          <w:color w:val="auto"/>
        </w:rPr>
      </w:pPr>
      <w:r>
        <w:rPr>
          <w:rFonts w:hint="eastAsia"/>
          <w:color w:val="auto"/>
        </w:rPr>
        <w:t>除了在本规格书和阀门规格表另有规定外，用于制造阀门的材料均</w:t>
      </w:r>
      <w:r>
        <w:rPr>
          <w:rFonts w:hint="eastAsia"/>
          <w:b/>
          <w:color w:val="auto"/>
        </w:rPr>
        <w:t>必须</w:t>
      </w:r>
      <w:r>
        <w:rPr>
          <w:rFonts w:hint="eastAsia"/>
          <w:color w:val="auto"/>
        </w:rPr>
        <w:t>符合API 6D的要求，使阀门性能适应气候条件、环境温度、工作介质及操作条件的要求，并能保证使用寿命。不排除制造商也可以使用经实践证明性能更优的制造材料，以保证制造商对阀门的质量、性能与使用寿命的承诺，但</w:t>
      </w:r>
      <w:r>
        <w:rPr>
          <w:rFonts w:hint="eastAsia"/>
          <w:b/>
          <w:color w:val="auto"/>
        </w:rPr>
        <w:t>必须</w:t>
      </w:r>
      <w:r>
        <w:rPr>
          <w:rFonts w:hint="eastAsia"/>
          <w:color w:val="auto"/>
        </w:rPr>
        <w:t>事先得到购方的认可。</w:t>
      </w:r>
    </w:p>
    <w:p w14:paraId="20F3777C">
      <w:pPr>
        <w:pStyle w:val="96"/>
        <w:numPr>
          <w:ilvl w:val="0"/>
          <w:numId w:val="5"/>
        </w:numPr>
        <w:tabs>
          <w:tab w:val="clear" w:pos="855"/>
        </w:tabs>
        <w:ind w:firstLine="560"/>
        <w:rPr>
          <w:color w:val="auto"/>
        </w:rPr>
      </w:pPr>
      <w:r>
        <w:rPr>
          <w:rFonts w:hint="eastAsia"/>
          <w:color w:val="auto"/>
        </w:rPr>
        <w:t>主要零部件和标准件</w:t>
      </w:r>
      <w:r>
        <w:rPr>
          <w:rFonts w:hint="eastAsia"/>
          <w:b/>
          <w:color w:val="auto"/>
        </w:rPr>
        <w:t>应</w:t>
      </w:r>
      <w:r>
        <w:rPr>
          <w:rFonts w:hint="eastAsia"/>
          <w:color w:val="auto"/>
        </w:rPr>
        <w:t>提供材料的化学成分、机械性能、无损检测报告。</w:t>
      </w:r>
    </w:p>
    <w:p w14:paraId="5B27372A">
      <w:pPr>
        <w:pStyle w:val="95"/>
        <w:numPr>
          <w:ilvl w:val="2"/>
          <w:numId w:val="4"/>
        </w:numPr>
      </w:pPr>
      <w:bookmarkStart w:id="94" w:name="_Toc27929"/>
      <w:r>
        <w:rPr>
          <w:rFonts w:hint="eastAsia"/>
        </w:rPr>
        <w:t>阀体材料</w:t>
      </w:r>
      <w:bookmarkEnd w:id="94"/>
    </w:p>
    <w:p w14:paraId="6EC0419F">
      <w:pPr>
        <w:pStyle w:val="90"/>
        <w:rPr>
          <w:color w:val="auto"/>
        </w:rPr>
      </w:pPr>
      <w:r>
        <w:rPr>
          <w:rFonts w:hint="eastAsia"/>
          <w:color w:val="auto"/>
        </w:rPr>
        <w:t>阀门的主体材料选用参照表1。</w:t>
      </w:r>
    </w:p>
    <w:p w14:paraId="4676105B">
      <w:pPr>
        <w:tabs>
          <w:tab w:val="left" w:pos="425"/>
          <w:tab w:val="left" w:pos="567"/>
        </w:tabs>
        <w:suppressAutoHyphens/>
        <w:spacing w:line="360" w:lineRule="auto"/>
        <w:jc w:val="center"/>
        <w:rPr>
          <w:rFonts w:hAnsi="Arial"/>
          <w:b/>
          <w:bCs/>
        </w:rPr>
      </w:pPr>
      <w:r>
        <w:rPr>
          <w:rFonts w:hint="eastAsia" w:hAnsi="Arial"/>
          <w:b/>
          <w:bCs/>
        </w:rPr>
        <w:t>表1   平板闸阀阀体材料选用</w:t>
      </w:r>
    </w:p>
    <w:tbl>
      <w:tblPr>
        <w:tblStyle w:val="36"/>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4"/>
        <w:gridCol w:w="7036"/>
      </w:tblGrid>
      <w:tr w14:paraId="24D011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7" w:type="pct"/>
            <w:vAlign w:val="center"/>
          </w:tcPr>
          <w:p w14:paraId="20CEE1A2">
            <w:pPr>
              <w:tabs>
                <w:tab w:val="left" w:pos="425"/>
                <w:tab w:val="left" w:pos="567"/>
              </w:tabs>
              <w:suppressAutoHyphens/>
              <w:jc w:val="center"/>
              <w:rPr>
                <w:rFonts w:ascii="黑体" w:hAnsi="黑体" w:eastAsia="黑体"/>
              </w:rPr>
            </w:pPr>
            <w:r>
              <w:rPr>
                <w:rFonts w:hint="eastAsia" w:ascii="黑体" w:hAnsi="黑体" w:eastAsia="黑体"/>
              </w:rPr>
              <w:t>零件</w:t>
            </w:r>
          </w:p>
        </w:tc>
        <w:tc>
          <w:tcPr>
            <w:tcW w:w="3883" w:type="pct"/>
            <w:vAlign w:val="center"/>
          </w:tcPr>
          <w:p w14:paraId="625E50CC">
            <w:pPr>
              <w:tabs>
                <w:tab w:val="left" w:pos="425"/>
                <w:tab w:val="left" w:pos="567"/>
              </w:tabs>
              <w:suppressAutoHyphens/>
              <w:jc w:val="center"/>
              <w:rPr>
                <w:rFonts w:ascii="黑体" w:hAnsi="黑体" w:eastAsia="黑体"/>
              </w:rPr>
            </w:pPr>
            <w:r>
              <w:rPr>
                <w:rFonts w:hint="eastAsia" w:ascii="黑体" w:hAnsi="黑体" w:eastAsia="黑体"/>
              </w:rPr>
              <w:t>材料规范号和牌号</w:t>
            </w:r>
          </w:p>
        </w:tc>
      </w:tr>
      <w:tr w14:paraId="102D08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7" w:type="pct"/>
            <w:vAlign w:val="center"/>
          </w:tcPr>
          <w:p w14:paraId="2829A214">
            <w:pPr>
              <w:tabs>
                <w:tab w:val="left" w:pos="425"/>
                <w:tab w:val="left" w:pos="567"/>
              </w:tabs>
              <w:suppressAutoHyphens/>
              <w:jc w:val="center"/>
              <w:rPr>
                <w:rFonts w:ascii="黑体" w:hAnsi="黑体" w:eastAsia="黑体"/>
              </w:rPr>
            </w:pPr>
            <w:r>
              <w:rPr>
                <w:rFonts w:hint="eastAsia" w:ascii="黑体" w:hAnsi="黑体" w:eastAsia="黑体"/>
              </w:rPr>
              <w:t>阀体\阀盖</w:t>
            </w:r>
          </w:p>
        </w:tc>
        <w:tc>
          <w:tcPr>
            <w:tcW w:w="3883" w:type="pct"/>
            <w:vAlign w:val="center"/>
          </w:tcPr>
          <w:p w14:paraId="41FAE0E3">
            <w:pPr>
              <w:tabs>
                <w:tab w:val="left" w:pos="425"/>
                <w:tab w:val="left" w:pos="567"/>
              </w:tabs>
              <w:suppressAutoHyphens/>
              <w:jc w:val="center"/>
              <w:rPr>
                <w:rFonts w:ascii="黑体" w:hAnsi="黑体" w:eastAsia="黑体"/>
              </w:rPr>
            </w:pPr>
            <w:r>
              <w:rPr>
                <w:rFonts w:hint="eastAsia" w:ascii="黑体" w:hAnsi="黑体" w:eastAsia="黑体"/>
              </w:rPr>
              <w:t>ASTM A216 Gr WCB（铸件）或ASTM A105（锻件）</w:t>
            </w:r>
          </w:p>
        </w:tc>
      </w:tr>
    </w:tbl>
    <w:p w14:paraId="1BB4815D">
      <w:pPr>
        <w:pStyle w:val="95"/>
        <w:numPr>
          <w:ilvl w:val="2"/>
          <w:numId w:val="4"/>
        </w:numPr>
      </w:pPr>
      <w:bookmarkStart w:id="95" w:name="_Toc19097"/>
      <w:r>
        <w:rPr>
          <w:rFonts w:hint="eastAsia"/>
        </w:rPr>
        <w:t>阀门内件材料</w:t>
      </w:r>
      <w:bookmarkEnd w:id="95"/>
    </w:p>
    <w:p w14:paraId="76EFC6EE">
      <w:pPr>
        <w:pStyle w:val="90"/>
        <w:rPr>
          <w:color w:val="auto"/>
        </w:rPr>
      </w:pPr>
      <w:r>
        <w:rPr>
          <w:rFonts w:hint="eastAsia"/>
          <w:color w:val="auto"/>
        </w:rPr>
        <w:t>阀门内件材料选用参照表2。</w:t>
      </w:r>
    </w:p>
    <w:p w14:paraId="123D29CA">
      <w:pPr>
        <w:tabs>
          <w:tab w:val="left" w:pos="425"/>
          <w:tab w:val="left" w:pos="567"/>
        </w:tabs>
        <w:suppressAutoHyphens/>
        <w:spacing w:line="360" w:lineRule="auto"/>
        <w:jc w:val="center"/>
        <w:rPr>
          <w:rFonts w:hAnsi="Arial"/>
          <w:b/>
          <w:bCs/>
        </w:rPr>
      </w:pPr>
      <w:r>
        <w:rPr>
          <w:rFonts w:hint="eastAsia" w:hAnsi="Arial"/>
          <w:b/>
          <w:bCs/>
        </w:rPr>
        <w:t>表2   平板闸阀内件材料选用</w:t>
      </w:r>
    </w:p>
    <w:tbl>
      <w:tblPr>
        <w:tblStyle w:val="36"/>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4"/>
        <w:gridCol w:w="7186"/>
      </w:tblGrid>
      <w:tr w14:paraId="5AA7C5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pct"/>
            <w:vAlign w:val="center"/>
          </w:tcPr>
          <w:p w14:paraId="0D11F0C4">
            <w:pPr>
              <w:tabs>
                <w:tab w:val="left" w:pos="425"/>
                <w:tab w:val="left" w:pos="567"/>
              </w:tabs>
              <w:suppressAutoHyphens/>
              <w:jc w:val="center"/>
              <w:rPr>
                <w:rFonts w:ascii="黑体" w:hAnsi="黑体" w:eastAsia="黑体"/>
              </w:rPr>
            </w:pPr>
            <w:r>
              <w:rPr>
                <w:rFonts w:hint="eastAsia" w:ascii="黑体" w:hAnsi="黑体" w:eastAsia="黑体"/>
              </w:rPr>
              <w:t>零件</w:t>
            </w:r>
          </w:p>
        </w:tc>
        <w:tc>
          <w:tcPr>
            <w:tcW w:w="3966" w:type="pct"/>
            <w:vAlign w:val="center"/>
          </w:tcPr>
          <w:p w14:paraId="4DBF3D94">
            <w:pPr>
              <w:tabs>
                <w:tab w:val="left" w:pos="425"/>
                <w:tab w:val="left" w:pos="567"/>
              </w:tabs>
              <w:suppressAutoHyphens/>
              <w:jc w:val="center"/>
              <w:rPr>
                <w:rFonts w:ascii="黑体" w:hAnsi="黑体" w:eastAsia="黑体"/>
              </w:rPr>
            </w:pPr>
            <w:r>
              <w:rPr>
                <w:rFonts w:hint="eastAsia" w:ascii="黑体" w:hAnsi="黑体" w:eastAsia="黑体"/>
              </w:rPr>
              <w:t>材料规范号和牌号</w:t>
            </w:r>
          </w:p>
        </w:tc>
      </w:tr>
      <w:tr w14:paraId="5E159F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pct"/>
            <w:vAlign w:val="center"/>
          </w:tcPr>
          <w:p w14:paraId="5140A1D5">
            <w:pPr>
              <w:tabs>
                <w:tab w:val="left" w:pos="425"/>
                <w:tab w:val="left" w:pos="567"/>
              </w:tabs>
              <w:suppressAutoHyphens/>
              <w:jc w:val="center"/>
              <w:rPr>
                <w:rFonts w:ascii="黑体" w:hAnsi="黑体" w:eastAsia="黑体"/>
              </w:rPr>
            </w:pPr>
            <w:r>
              <w:rPr>
                <w:rFonts w:hint="eastAsia" w:ascii="黑体" w:hAnsi="黑体" w:eastAsia="黑体"/>
              </w:rPr>
              <w:t>阀座</w:t>
            </w:r>
          </w:p>
        </w:tc>
        <w:tc>
          <w:tcPr>
            <w:tcW w:w="3966" w:type="pct"/>
            <w:vAlign w:val="center"/>
          </w:tcPr>
          <w:p w14:paraId="33B1B186">
            <w:pPr>
              <w:tabs>
                <w:tab w:val="left" w:pos="425"/>
                <w:tab w:val="left" w:pos="567"/>
              </w:tabs>
              <w:suppressAutoHyphens/>
              <w:jc w:val="center"/>
              <w:rPr>
                <w:rFonts w:ascii="黑体" w:hAnsi="黑体" w:eastAsia="黑体"/>
              </w:rPr>
            </w:pPr>
            <w:r>
              <w:rPr>
                <w:rFonts w:hint="eastAsia" w:ascii="黑体" w:hAnsi="黑体" w:eastAsia="黑体"/>
              </w:rPr>
              <w:t>ASTM A105+GDN+STL6</w:t>
            </w:r>
          </w:p>
        </w:tc>
      </w:tr>
      <w:tr w14:paraId="61E7CA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pct"/>
            <w:vAlign w:val="center"/>
          </w:tcPr>
          <w:p w14:paraId="481C6B09">
            <w:pPr>
              <w:tabs>
                <w:tab w:val="left" w:pos="425"/>
                <w:tab w:val="left" w:pos="567"/>
              </w:tabs>
              <w:suppressAutoHyphens/>
              <w:jc w:val="center"/>
              <w:rPr>
                <w:rFonts w:ascii="黑体" w:hAnsi="黑体" w:eastAsia="黑体"/>
              </w:rPr>
            </w:pPr>
            <w:r>
              <w:rPr>
                <w:rFonts w:hint="eastAsia" w:ascii="黑体" w:hAnsi="黑体" w:eastAsia="黑体"/>
              </w:rPr>
              <w:t>闸板</w:t>
            </w:r>
          </w:p>
        </w:tc>
        <w:tc>
          <w:tcPr>
            <w:tcW w:w="3966" w:type="pct"/>
            <w:vAlign w:val="center"/>
          </w:tcPr>
          <w:p w14:paraId="6327391D">
            <w:pPr>
              <w:tabs>
                <w:tab w:val="left" w:pos="425"/>
                <w:tab w:val="left" w:pos="567"/>
              </w:tabs>
              <w:suppressAutoHyphens/>
              <w:jc w:val="center"/>
              <w:rPr>
                <w:rFonts w:ascii="黑体" w:hAnsi="黑体" w:eastAsia="黑体"/>
              </w:rPr>
            </w:pPr>
            <w:r>
              <w:rPr>
                <w:rFonts w:hint="eastAsia" w:ascii="黑体" w:hAnsi="黑体" w:eastAsia="黑体"/>
              </w:rPr>
              <w:t>ASTM A105+ENP</w:t>
            </w:r>
          </w:p>
        </w:tc>
      </w:tr>
      <w:tr w14:paraId="046BDD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pct"/>
            <w:vAlign w:val="center"/>
          </w:tcPr>
          <w:p w14:paraId="2D139CED">
            <w:pPr>
              <w:tabs>
                <w:tab w:val="left" w:pos="425"/>
                <w:tab w:val="left" w:pos="567"/>
              </w:tabs>
              <w:suppressAutoHyphens/>
              <w:jc w:val="center"/>
              <w:rPr>
                <w:rFonts w:ascii="黑体" w:hAnsi="黑体" w:eastAsia="黑体"/>
              </w:rPr>
            </w:pPr>
            <w:r>
              <w:rPr>
                <w:rFonts w:hint="eastAsia" w:ascii="黑体" w:hAnsi="黑体" w:eastAsia="黑体"/>
              </w:rPr>
              <w:t>阀杆</w:t>
            </w:r>
          </w:p>
        </w:tc>
        <w:tc>
          <w:tcPr>
            <w:tcW w:w="3966" w:type="pct"/>
            <w:vAlign w:val="center"/>
          </w:tcPr>
          <w:p w14:paraId="14EB2499">
            <w:pPr>
              <w:tabs>
                <w:tab w:val="left" w:pos="425"/>
                <w:tab w:val="left" w:pos="567"/>
              </w:tabs>
              <w:suppressAutoHyphens/>
              <w:jc w:val="center"/>
              <w:rPr>
                <w:rFonts w:ascii="黑体" w:hAnsi="黑体" w:eastAsia="黑体"/>
              </w:rPr>
            </w:pPr>
            <w:r>
              <w:rPr>
                <w:rFonts w:hint="eastAsia" w:ascii="黑体" w:hAnsi="黑体" w:eastAsia="黑体"/>
              </w:rPr>
              <w:t>ASTM A276 410+ENP或ASTM A182 F6a+ENP（1Cr13）</w:t>
            </w:r>
          </w:p>
        </w:tc>
      </w:tr>
    </w:tbl>
    <w:p w14:paraId="3CDB00A0">
      <w:pPr>
        <w:pStyle w:val="95"/>
        <w:numPr>
          <w:ilvl w:val="2"/>
          <w:numId w:val="4"/>
        </w:numPr>
      </w:pPr>
      <w:bookmarkStart w:id="96" w:name="_Toc4420"/>
      <w:r>
        <w:rPr>
          <w:rFonts w:hint="eastAsia"/>
        </w:rPr>
        <w:t>操作部件材料</w:t>
      </w:r>
      <w:bookmarkEnd w:id="96"/>
    </w:p>
    <w:p w14:paraId="4D0D2228">
      <w:pPr>
        <w:pStyle w:val="90"/>
        <w:rPr>
          <w:color w:val="auto"/>
        </w:rPr>
      </w:pPr>
      <w:r>
        <w:rPr>
          <w:rFonts w:hint="eastAsia"/>
          <w:color w:val="auto"/>
        </w:rPr>
        <w:t>阀门手轮</w:t>
      </w:r>
      <w:r>
        <w:rPr>
          <w:rFonts w:hint="eastAsia"/>
          <w:b/>
          <w:color w:val="auto"/>
        </w:rPr>
        <w:t>应</w:t>
      </w:r>
      <w:r>
        <w:rPr>
          <w:rFonts w:hint="eastAsia"/>
          <w:color w:val="auto"/>
        </w:rPr>
        <w:t>采用锻钢或焊接杆；扳手</w:t>
      </w:r>
      <w:r>
        <w:rPr>
          <w:rFonts w:hint="eastAsia"/>
          <w:b/>
          <w:color w:val="auto"/>
        </w:rPr>
        <w:t>应</w:t>
      </w:r>
      <w:r>
        <w:rPr>
          <w:rFonts w:hint="eastAsia"/>
          <w:color w:val="auto"/>
        </w:rPr>
        <w:t>采用锻钢或轧制钢。</w:t>
      </w:r>
    </w:p>
    <w:p w14:paraId="6953AC0A">
      <w:pPr>
        <w:pStyle w:val="92"/>
        <w:numPr>
          <w:ilvl w:val="1"/>
          <w:numId w:val="4"/>
        </w:numPr>
        <w:rPr>
          <w:kern w:val="44"/>
        </w:rPr>
      </w:pPr>
      <w:bookmarkStart w:id="97" w:name="_Toc10827"/>
      <w:bookmarkStart w:id="98" w:name="_Toc5270"/>
      <w:bookmarkStart w:id="99" w:name="_Toc20753"/>
      <w:bookmarkStart w:id="100" w:name="_Toc18911"/>
      <w:bookmarkStart w:id="101" w:name="_Toc1745"/>
      <w:bookmarkStart w:id="102" w:name="_Toc58226406"/>
      <w:bookmarkStart w:id="103" w:name="_Toc886"/>
      <w:bookmarkStart w:id="104" w:name="_Toc11224"/>
      <w:bookmarkStart w:id="105" w:name="_Toc339469370"/>
      <w:bookmarkStart w:id="106" w:name="_Toc26955"/>
      <w:bookmarkStart w:id="107" w:name="_Toc1849"/>
      <w:bookmarkStart w:id="108" w:name="_Toc7206"/>
      <w:r>
        <w:rPr>
          <w:rFonts w:hint="eastAsia"/>
          <w:kern w:val="44"/>
        </w:rPr>
        <w:t>阀门检验和测试</w:t>
      </w:r>
      <w:bookmarkEnd w:id="97"/>
      <w:bookmarkEnd w:id="98"/>
      <w:bookmarkEnd w:id="99"/>
      <w:bookmarkEnd w:id="100"/>
      <w:bookmarkEnd w:id="101"/>
      <w:bookmarkEnd w:id="102"/>
      <w:bookmarkEnd w:id="103"/>
      <w:bookmarkEnd w:id="104"/>
      <w:bookmarkEnd w:id="105"/>
      <w:bookmarkEnd w:id="106"/>
      <w:bookmarkEnd w:id="107"/>
      <w:bookmarkEnd w:id="108"/>
    </w:p>
    <w:p w14:paraId="31FE91A2">
      <w:pPr>
        <w:pStyle w:val="95"/>
        <w:numPr>
          <w:ilvl w:val="2"/>
          <w:numId w:val="4"/>
        </w:numPr>
      </w:pPr>
      <w:r>
        <w:rPr>
          <w:rFonts w:hint="eastAsia"/>
        </w:rPr>
        <w:t xml:space="preserve"> </w:t>
      </w:r>
      <w:bookmarkStart w:id="109" w:name="_Toc19322"/>
      <w:r>
        <w:rPr>
          <w:rFonts w:hint="eastAsia"/>
        </w:rPr>
        <w:t>检测设备</w:t>
      </w:r>
      <w:bookmarkEnd w:id="109"/>
    </w:p>
    <w:p w14:paraId="42C1B87A">
      <w:pPr>
        <w:pStyle w:val="90"/>
        <w:rPr>
          <w:color w:val="auto"/>
        </w:rPr>
      </w:pPr>
      <w:r>
        <w:rPr>
          <w:rFonts w:hint="eastAsia"/>
          <w:color w:val="auto"/>
        </w:rPr>
        <w:t>制造商</w:t>
      </w:r>
      <w:r>
        <w:rPr>
          <w:rFonts w:hint="eastAsia"/>
          <w:b/>
          <w:color w:val="auto"/>
        </w:rPr>
        <w:t>必须</w:t>
      </w:r>
      <w:r>
        <w:rPr>
          <w:rFonts w:hint="eastAsia"/>
          <w:color w:val="auto"/>
        </w:rPr>
        <w:t>具有要求在工厂进行测试所必须的材料和检验设备。测试</w:t>
      </w:r>
      <w:r>
        <w:rPr>
          <w:rFonts w:hint="eastAsia"/>
          <w:b/>
          <w:color w:val="auto"/>
        </w:rPr>
        <w:t>应</w:t>
      </w:r>
      <w:r>
        <w:rPr>
          <w:rFonts w:hint="eastAsia"/>
          <w:color w:val="auto"/>
        </w:rPr>
        <w:t>在阀门没有刷漆前进行。阀座、阀板或闸板都应彻底清洗。所有用于水压试验和气密试验的固定装置</w:t>
      </w:r>
      <w:r>
        <w:rPr>
          <w:rFonts w:hint="eastAsia"/>
          <w:b/>
          <w:color w:val="auto"/>
        </w:rPr>
        <w:t>不应</w:t>
      </w:r>
      <w:r>
        <w:rPr>
          <w:rFonts w:hint="eastAsia"/>
          <w:color w:val="auto"/>
        </w:rPr>
        <w:t>对阀端有损害。</w:t>
      </w:r>
    </w:p>
    <w:p w14:paraId="7E939D0C">
      <w:pPr>
        <w:pStyle w:val="95"/>
        <w:numPr>
          <w:ilvl w:val="2"/>
          <w:numId w:val="4"/>
        </w:numPr>
      </w:pPr>
      <w:r>
        <w:t xml:space="preserve"> </w:t>
      </w:r>
      <w:bookmarkStart w:id="110" w:name="_Toc26468"/>
      <w:r>
        <w:rPr>
          <w:rFonts w:hint="eastAsia"/>
        </w:rPr>
        <w:t>检测标准</w:t>
      </w:r>
      <w:bookmarkEnd w:id="110"/>
    </w:p>
    <w:p w14:paraId="7ACED99A">
      <w:pPr>
        <w:pStyle w:val="90"/>
        <w:rPr>
          <w:color w:val="auto"/>
        </w:rPr>
      </w:pPr>
      <w:r>
        <w:rPr>
          <w:rFonts w:hint="eastAsia"/>
          <w:color w:val="auto"/>
        </w:rPr>
        <w:t>除非本技术规格书另有规定外，阀门制造商</w:t>
      </w:r>
      <w:r>
        <w:rPr>
          <w:rFonts w:hint="eastAsia"/>
          <w:b/>
          <w:color w:val="auto"/>
        </w:rPr>
        <w:t>必须</w:t>
      </w:r>
      <w:r>
        <w:rPr>
          <w:rFonts w:hint="eastAsia"/>
          <w:color w:val="auto"/>
        </w:rPr>
        <w:t>在阀门出厂前按API6D和API598的要求对所有的阀门进行测试（功能测试和表观检验，对所用的每炉钢，</w:t>
      </w:r>
      <w:r>
        <w:rPr>
          <w:rFonts w:hint="eastAsia"/>
          <w:b/>
          <w:color w:val="auto"/>
        </w:rPr>
        <w:t>应</w:t>
      </w:r>
      <w:r>
        <w:rPr>
          <w:rFonts w:hint="eastAsia"/>
          <w:color w:val="auto"/>
        </w:rPr>
        <w:t>按照有关材料标准和本技术规格书的要求，进行化学成分和机械性能包括硬度测试），所有的附件也要检验或测试。</w:t>
      </w:r>
    </w:p>
    <w:p w14:paraId="705A0B14">
      <w:pPr>
        <w:pStyle w:val="90"/>
        <w:rPr>
          <w:color w:val="auto"/>
        </w:rPr>
      </w:pPr>
      <w:r>
        <w:rPr>
          <w:rFonts w:hint="eastAsia"/>
          <w:color w:val="auto"/>
        </w:rPr>
        <w:t>购方有权目睹所有的测试。因此在每次测试前至少提前</w:t>
      </w:r>
      <w:r>
        <w:rPr>
          <w:color w:val="auto"/>
        </w:rPr>
        <w:t>14</w:t>
      </w:r>
      <w:r>
        <w:rPr>
          <w:rFonts w:hint="eastAsia"/>
          <w:color w:val="auto"/>
        </w:rPr>
        <w:t>天通知购方。</w:t>
      </w:r>
    </w:p>
    <w:p w14:paraId="1CA7EB08">
      <w:pPr>
        <w:pStyle w:val="95"/>
        <w:numPr>
          <w:ilvl w:val="2"/>
          <w:numId w:val="4"/>
        </w:numPr>
      </w:pPr>
      <w:r>
        <w:t xml:space="preserve"> </w:t>
      </w:r>
      <w:bookmarkStart w:id="111" w:name="_Toc17250"/>
      <w:r>
        <w:rPr>
          <w:rFonts w:hint="eastAsia"/>
        </w:rPr>
        <w:t>检测数据</w:t>
      </w:r>
      <w:bookmarkEnd w:id="111"/>
    </w:p>
    <w:p w14:paraId="4DB60736">
      <w:pPr>
        <w:pStyle w:val="90"/>
        <w:rPr>
          <w:color w:val="auto"/>
        </w:rPr>
      </w:pPr>
      <w:r>
        <w:rPr>
          <w:rFonts w:hint="eastAsia"/>
          <w:color w:val="auto"/>
        </w:rPr>
        <w:t>在整个测试过程中，</w:t>
      </w:r>
      <w:r>
        <w:rPr>
          <w:rFonts w:hint="eastAsia"/>
          <w:b/>
          <w:color w:val="auto"/>
        </w:rPr>
        <w:t>应</w:t>
      </w:r>
      <w:r>
        <w:rPr>
          <w:rFonts w:hint="eastAsia"/>
          <w:color w:val="auto"/>
        </w:rPr>
        <w:t>记录测试数据和压力。图表</w:t>
      </w:r>
      <w:r>
        <w:rPr>
          <w:rFonts w:hint="eastAsia"/>
          <w:b/>
          <w:color w:val="auto"/>
        </w:rPr>
        <w:t>应</w:t>
      </w:r>
      <w:r>
        <w:rPr>
          <w:rFonts w:hint="eastAsia"/>
          <w:color w:val="auto"/>
        </w:rPr>
        <w:t>清晰地显示所有测试信息，以便识别。特别是下列信息</w:t>
      </w:r>
      <w:r>
        <w:rPr>
          <w:rFonts w:hint="eastAsia"/>
          <w:b/>
          <w:color w:val="auto"/>
        </w:rPr>
        <w:t>应</w:t>
      </w:r>
      <w:r>
        <w:rPr>
          <w:rFonts w:hint="eastAsia"/>
          <w:color w:val="auto"/>
        </w:rPr>
        <w:t>在每次测试中给出：</w:t>
      </w:r>
    </w:p>
    <w:p w14:paraId="2A565E28">
      <w:pPr>
        <w:pStyle w:val="90"/>
        <w:rPr>
          <w:color w:val="auto"/>
        </w:rPr>
      </w:pPr>
      <w:r>
        <w:rPr>
          <w:color w:val="auto"/>
        </w:rPr>
        <w:t>-</w:t>
      </w:r>
      <w:r>
        <w:rPr>
          <w:color w:val="auto"/>
        </w:rPr>
        <w:tab/>
      </w:r>
      <w:r>
        <w:rPr>
          <w:rFonts w:hint="eastAsia"/>
          <w:color w:val="auto"/>
        </w:rPr>
        <w:t>直径、压力等级和每个阀门的编号</w:t>
      </w:r>
    </w:p>
    <w:p w14:paraId="214872FF">
      <w:pPr>
        <w:pStyle w:val="90"/>
        <w:rPr>
          <w:color w:val="auto"/>
        </w:rPr>
      </w:pPr>
      <w:r>
        <w:rPr>
          <w:color w:val="auto"/>
        </w:rPr>
        <w:t xml:space="preserve">- </w:t>
      </w:r>
      <w:r>
        <w:rPr>
          <w:rFonts w:hint="eastAsia"/>
          <w:color w:val="auto"/>
        </w:rPr>
        <w:t>测试类型</w:t>
      </w:r>
    </w:p>
    <w:p w14:paraId="6538AB72">
      <w:pPr>
        <w:pStyle w:val="90"/>
        <w:rPr>
          <w:color w:val="auto"/>
        </w:rPr>
      </w:pPr>
      <w:r>
        <w:rPr>
          <w:color w:val="auto"/>
        </w:rPr>
        <w:t>-</w:t>
      </w:r>
      <w:r>
        <w:rPr>
          <w:color w:val="auto"/>
        </w:rPr>
        <w:tab/>
      </w:r>
      <w:r>
        <w:rPr>
          <w:rFonts w:hint="eastAsia"/>
          <w:color w:val="auto"/>
        </w:rPr>
        <w:t>测试持续时间</w:t>
      </w:r>
    </w:p>
    <w:p w14:paraId="6EDE1BEA">
      <w:pPr>
        <w:pStyle w:val="90"/>
        <w:rPr>
          <w:color w:val="auto"/>
        </w:rPr>
      </w:pPr>
      <w:r>
        <w:rPr>
          <w:color w:val="auto"/>
        </w:rPr>
        <w:t>-</w:t>
      </w:r>
      <w:r>
        <w:rPr>
          <w:color w:val="auto"/>
        </w:rPr>
        <w:tab/>
      </w:r>
      <w:r>
        <w:rPr>
          <w:rFonts w:hint="eastAsia"/>
          <w:color w:val="auto"/>
        </w:rPr>
        <w:t>负责测试的人员签字（清晰易读）</w:t>
      </w:r>
    </w:p>
    <w:p w14:paraId="6AE2CAF3">
      <w:pPr>
        <w:pStyle w:val="95"/>
        <w:numPr>
          <w:ilvl w:val="2"/>
          <w:numId w:val="4"/>
        </w:numPr>
      </w:pPr>
      <w:r>
        <w:rPr>
          <w:rFonts w:hint="eastAsia"/>
        </w:rPr>
        <w:t xml:space="preserve"> </w:t>
      </w:r>
      <w:bookmarkStart w:id="112" w:name="_Toc10850"/>
      <w:r>
        <w:rPr>
          <w:rFonts w:hint="eastAsia"/>
        </w:rPr>
        <w:t>检测要求</w:t>
      </w:r>
      <w:bookmarkEnd w:id="112"/>
    </w:p>
    <w:p w14:paraId="646A94FB">
      <w:pPr>
        <w:pStyle w:val="96"/>
        <w:numPr>
          <w:ilvl w:val="0"/>
          <w:numId w:val="12"/>
        </w:numPr>
        <w:tabs>
          <w:tab w:val="clear" w:pos="855"/>
        </w:tabs>
        <w:ind w:firstLine="560"/>
        <w:rPr>
          <w:color w:val="auto"/>
        </w:rPr>
      </w:pPr>
      <w:r>
        <w:rPr>
          <w:rFonts w:hint="eastAsia"/>
          <w:color w:val="auto"/>
        </w:rPr>
        <w:t>表观检验</w:t>
      </w:r>
    </w:p>
    <w:p w14:paraId="54E5F696">
      <w:pPr>
        <w:pStyle w:val="90"/>
        <w:rPr>
          <w:color w:val="auto"/>
        </w:rPr>
      </w:pPr>
      <w:r>
        <w:rPr>
          <w:rFonts w:hint="eastAsia"/>
          <w:color w:val="auto"/>
        </w:rPr>
        <w:t>阀体</w:t>
      </w:r>
      <w:r>
        <w:rPr>
          <w:rFonts w:hint="eastAsia"/>
          <w:b/>
          <w:color w:val="auto"/>
        </w:rPr>
        <w:t>应</w:t>
      </w:r>
      <w:r>
        <w:rPr>
          <w:rFonts w:hint="eastAsia"/>
          <w:color w:val="auto"/>
        </w:rPr>
        <w:t>完好无损，并按照</w:t>
      </w:r>
      <w:r>
        <w:rPr>
          <w:color w:val="auto"/>
        </w:rPr>
        <w:t>MSS–SP 55</w:t>
      </w:r>
      <w:r>
        <w:rPr>
          <w:rFonts w:hint="eastAsia"/>
          <w:color w:val="auto"/>
        </w:rPr>
        <w:t>进行表观检验。</w:t>
      </w:r>
    </w:p>
    <w:p w14:paraId="3690A22A">
      <w:pPr>
        <w:pStyle w:val="96"/>
        <w:numPr>
          <w:ilvl w:val="0"/>
          <w:numId w:val="5"/>
        </w:numPr>
        <w:tabs>
          <w:tab w:val="clear" w:pos="855"/>
        </w:tabs>
        <w:ind w:firstLine="560"/>
        <w:rPr>
          <w:color w:val="auto"/>
        </w:rPr>
      </w:pPr>
      <w:r>
        <w:rPr>
          <w:rFonts w:hint="eastAsia"/>
          <w:color w:val="auto"/>
        </w:rPr>
        <w:t>阀体水压测试</w:t>
      </w:r>
    </w:p>
    <w:p w14:paraId="18289B28">
      <w:pPr>
        <w:pStyle w:val="90"/>
        <w:rPr>
          <w:color w:val="auto"/>
        </w:rPr>
      </w:pPr>
      <w:r>
        <w:rPr>
          <w:rFonts w:hint="eastAsia"/>
          <w:color w:val="auto"/>
        </w:rPr>
        <w:t>水压测试压力</w:t>
      </w:r>
      <w:r>
        <w:rPr>
          <w:rFonts w:hint="eastAsia"/>
          <w:b/>
          <w:color w:val="auto"/>
        </w:rPr>
        <w:t>应</w:t>
      </w:r>
      <w:r>
        <w:rPr>
          <w:rFonts w:hint="eastAsia"/>
          <w:color w:val="auto"/>
        </w:rPr>
        <w:t>为API598所描述的阀门压力等级下的试验压力，且阀门两端封闭，并在阀板</w:t>
      </w:r>
      <w:r>
        <w:rPr>
          <w:color w:val="auto"/>
        </w:rPr>
        <w:t>1/4</w:t>
      </w:r>
      <w:r>
        <w:rPr>
          <w:rFonts w:hint="eastAsia"/>
          <w:color w:val="auto"/>
        </w:rPr>
        <w:t>开度位置进行，在规定的测试时间内</w:t>
      </w:r>
      <w:r>
        <w:rPr>
          <w:rFonts w:hint="eastAsia"/>
          <w:b/>
          <w:color w:val="auto"/>
        </w:rPr>
        <w:t>不得</w:t>
      </w:r>
      <w:r>
        <w:rPr>
          <w:rFonts w:hint="eastAsia"/>
          <w:color w:val="auto"/>
        </w:rPr>
        <w:t>有泄漏和压降现象。</w:t>
      </w:r>
    </w:p>
    <w:p w14:paraId="5EEBC567">
      <w:pPr>
        <w:pStyle w:val="96"/>
        <w:numPr>
          <w:ilvl w:val="0"/>
          <w:numId w:val="5"/>
        </w:numPr>
        <w:tabs>
          <w:tab w:val="clear" w:pos="855"/>
        </w:tabs>
        <w:ind w:firstLine="560"/>
        <w:rPr>
          <w:color w:val="auto"/>
        </w:rPr>
      </w:pPr>
      <w:r>
        <w:rPr>
          <w:rFonts w:hint="eastAsia"/>
          <w:color w:val="auto"/>
        </w:rPr>
        <w:t>水压密封测试</w:t>
      </w:r>
    </w:p>
    <w:p w14:paraId="0FD2A30B">
      <w:pPr>
        <w:pStyle w:val="90"/>
        <w:rPr>
          <w:color w:val="auto"/>
        </w:rPr>
      </w:pPr>
      <w:r>
        <w:rPr>
          <w:rFonts w:hint="eastAsia"/>
          <w:color w:val="auto"/>
        </w:rPr>
        <w:t>该测试</w:t>
      </w:r>
      <w:r>
        <w:rPr>
          <w:rFonts w:hint="eastAsia"/>
          <w:b/>
          <w:color w:val="auto"/>
        </w:rPr>
        <w:t>应</w:t>
      </w:r>
      <w:r>
        <w:rPr>
          <w:rFonts w:hint="eastAsia"/>
          <w:color w:val="auto"/>
        </w:rPr>
        <w:t>在闸板处于“关闭”位置，并按照API598规定的阀门压力等级进行压力试验，平板闸阀的阀门两端都</w:t>
      </w:r>
      <w:r>
        <w:rPr>
          <w:rFonts w:hint="eastAsia"/>
          <w:b/>
          <w:color w:val="auto"/>
        </w:rPr>
        <w:t>应</w:t>
      </w:r>
      <w:r>
        <w:rPr>
          <w:rFonts w:hint="eastAsia"/>
          <w:color w:val="auto"/>
        </w:rPr>
        <w:t>进行此测试。验收标准按API598和API6D中要求严格的规定执行。</w:t>
      </w:r>
    </w:p>
    <w:p w14:paraId="6564D50F">
      <w:pPr>
        <w:pStyle w:val="96"/>
        <w:numPr>
          <w:ilvl w:val="0"/>
          <w:numId w:val="5"/>
        </w:numPr>
        <w:tabs>
          <w:tab w:val="clear" w:pos="855"/>
        </w:tabs>
        <w:ind w:firstLine="560"/>
        <w:rPr>
          <w:color w:val="auto"/>
        </w:rPr>
      </w:pPr>
      <w:r>
        <w:rPr>
          <w:rFonts w:hint="eastAsia"/>
          <w:color w:val="auto"/>
        </w:rPr>
        <w:t>阀座气密性试验</w:t>
      </w:r>
    </w:p>
    <w:p w14:paraId="79AC16B4">
      <w:pPr>
        <w:pStyle w:val="90"/>
        <w:rPr>
          <w:color w:val="auto"/>
        </w:rPr>
      </w:pPr>
      <w:r>
        <w:rPr>
          <w:rFonts w:hint="eastAsia"/>
          <w:color w:val="auto"/>
        </w:rPr>
        <w:t>所有阀门都</w:t>
      </w:r>
      <w:r>
        <w:rPr>
          <w:rFonts w:hint="eastAsia"/>
          <w:b/>
          <w:color w:val="auto"/>
        </w:rPr>
        <w:t>应</w:t>
      </w:r>
      <w:r>
        <w:rPr>
          <w:rFonts w:hint="eastAsia"/>
          <w:color w:val="auto"/>
        </w:rPr>
        <w:t>进行0.6MPa低压阀座气密测试，验收标准按API598和API6D中要求严格的规定执行。</w:t>
      </w:r>
    </w:p>
    <w:p w14:paraId="64E313F2">
      <w:pPr>
        <w:pStyle w:val="96"/>
        <w:numPr>
          <w:ilvl w:val="0"/>
          <w:numId w:val="5"/>
        </w:numPr>
        <w:tabs>
          <w:tab w:val="clear" w:pos="855"/>
        </w:tabs>
        <w:ind w:firstLine="560"/>
        <w:rPr>
          <w:color w:val="auto"/>
        </w:rPr>
      </w:pPr>
      <w:r>
        <w:rPr>
          <w:rFonts w:hint="eastAsia"/>
          <w:color w:val="auto"/>
        </w:rPr>
        <w:t>执行机构的测试</w:t>
      </w:r>
    </w:p>
    <w:p w14:paraId="76D0BA55">
      <w:pPr>
        <w:pStyle w:val="90"/>
        <w:rPr>
          <w:color w:val="auto"/>
        </w:rPr>
      </w:pPr>
      <w:r>
        <w:rPr>
          <w:rFonts w:hint="eastAsia"/>
          <w:color w:val="auto"/>
        </w:rPr>
        <w:t>执行机构</w:t>
      </w:r>
      <w:r>
        <w:rPr>
          <w:rFonts w:hint="eastAsia"/>
          <w:b/>
          <w:color w:val="auto"/>
        </w:rPr>
        <w:t>应</w:t>
      </w:r>
      <w:r>
        <w:rPr>
          <w:rFonts w:hint="eastAsia"/>
          <w:color w:val="auto"/>
        </w:rPr>
        <w:t>在阀门制造厂装配完成后进行测试。执行机构</w:t>
      </w:r>
      <w:r>
        <w:rPr>
          <w:rFonts w:hint="eastAsia"/>
          <w:b/>
          <w:color w:val="auto"/>
        </w:rPr>
        <w:t>应</w:t>
      </w:r>
      <w:r>
        <w:rPr>
          <w:rFonts w:hint="eastAsia"/>
          <w:color w:val="auto"/>
        </w:rPr>
        <w:t>调整到确保其在技术规格书中规定的时间内开启和关闭阀门。安装在执行机构上的手动控制也</w:t>
      </w:r>
      <w:r>
        <w:rPr>
          <w:rFonts w:hint="eastAsia"/>
          <w:b/>
          <w:color w:val="auto"/>
        </w:rPr>
        <w:t>应</w:t>
      </w:r>
      <w:r>
        <w:rPr>
          <w:rFonts w:hint="eastAsia"/>
          <w:color w:val="auto"/>
        </w:rPr>
        <w:t>照常检验。</w:t>
      </w:r>
    </w:p>
    <w:p w14:paraId="4AFC6C0D">
      <w:pPr>
        <w:pStyle w:val="96"/>
        <w:numPr>
          <w:ilvl w:val="0"/>
          <w:numId w:val="5"/>
        </w:numPr>
        <w:tabs>
          <w:tab w:val="clear" w:pos="855"/>
        </w:tabs>
        <w:ind w:firstLine="560"/>
        <w:rPr>
          <w:color w:val="auto"/>
        </w:rPr>
      </w:pPr>
      <w:r>
        <w:rPr>
          <w:rFonts w:hint="eastAsia"/>
          <w:color w:val="auto"/>
        </w:rPr>
        <w:t>无损探伤</w:t>
      </w:r>
    </w:p>
    <w:p w14:paraId="0AB82E45">
      <w:pPr>
        <w:pStyle w:val="90"/>
        <w:rPr>
          <w:color w:val="auto"/>
        </w:rPr>
      </w:pPr>
      <w:r>
        <w:rPr>
          <w:rFonts w:hint="eastAsia"/>
          <w:color w:val="auto"/>
        </w:rPr>
        <w:t>阀门</w:t>
      </w:r>
      <w:r>
        <w:rPr>
          <w:rFonts w:hint="eastAsia"/>
          <w:b/>
          <w:color w:val="auto"/>
        </w:rPr>
        <w:t>应</w:t>
      </w:r>
      <w:r>
        <w:rPr>
          <w:rFonts w:hint="eastAsia"/>
          <w:color w:val="auto"/>
        </w:rPr>
        <w:t>进行下列无损探伤检验：</w:t>
      </w:r>
    </w:p>
    <w:p w14:paraId="0EC12AC6">
      <w:pPr>
        <w:pStyle w:val="90"/>
        <w:rPr>
          <w:color w:val="auto"/>
        </w:rPr>
      </w:pPr>
      <w:r>
        <w:rPr>
          <w:rFonts w:hint="eastAsia"/>
          <w:color w:val="auto"/>
        </w:rPr>
        <w:t>① 按照</w:t>
      </w:r>
      <w:r>
        <w:rPr>
          <w:color w:val="auto"/>
        </w:rPr>
        <w:t xml:space="preserve">ASME B16.34 </w:t>
      </w:r>
      <w:r>
        <w:rPr>
          <w:rFonts w:hint="eastAsia"/>
          <w:color w:val="auto"/>
        </w:rPr>
        <w:t>指明的关键点对阀门铸件进行</w:t>
      </w:r>
      <w:r>
        <w:rPr>
          <w:color w:val="auto"/>
        </w:rPr>
        <w:t>X</w:t>
      </w:r>
      <w:r>
        <w:rPr>
          <w:rFonts w:hint="eastAsia"/>
          <w:color w:val="auto"/>
        </w:rPr>
        <w:t>射线探伤，按</w:t>
      </w:r>
      <w:r>
        <w:rPr>
          <w:color w:val="auto"/>
        </w:rPr>
        <w:t>ASME B16.34</w:t>
      </w:r>
      <w:r>
        <w:rPr>
          <w:rFonts w:hint="eastAsia"/>
          <w:color w:val="auto"/>
        </w:rPr>
        <w:t>规定的验收标准验收。</w:t>
      </w:r>
    </w:p>
    <w:p w14:paraId="28DCD0AA">
      <w:pPr>
        <w:pStyle w:val="90"/>
        <w:rPr>
          <w:color w:val="auto"/>
        </w:rPr>
      </w:pPr>
      <w:r>
        <w:rPr>
          <w:rFonts w:hint="eastAsia"/>
          <w:color w:val="auto"/>
        </w:rPr>
        <w:t>② 压力等级≧PN5.0MPa或公称直径≧DN300的阀门承压部件的焊缝</w:t>
      </w:r>
      <w:r>
        <w:rPr>
          <w:rFonts w:hint="eastAsia"/>
          <w:b/>
          <w:color w:val="auto"/>
        </w:rPr>
        <w:t>必须</w:t>
      </w:r>
      <w:r>
        <w:rPr>
          <w:rFonts w:hint="eastAsia"/>
          <w:color w:val="auto"/>
        </w:rPr>
        <w:t>全部进行</w:t>
      </w:r>
      <w:r>
        <w:rPr>
          <w:color w:val="auto"/>
        </w:rPr>
        <w:t>X-</w:t>
      </w:r>
      <w:r>
        <w:rPr>
          <w:rFonts w:hint="eastAsia"/>
          <w:color w:val="auto"/>
        </w:rPr>
        <w:t>射线或γ</w:t>
      </w:r>
      <w:r>
        <w:rPr>
          <w:color w:val="auto"/>
        </w:rPr>
        <w:t xml:space="preserve">- </w:t>
      </w:r>
      <w:r>
        <w:rPr>
          <w:rFonts w:hint="eastAsia"/>
          <w:color w:val="auto"/>
        </w:rPr>
        <w:t>射线探伤。按检验员的观点采用</w:t>
      </w:r>
      <w:r>
        <w:rPr>
          <w:color w:val="auto"/>
        </w:rPr>
        <w:t>X-</w:t>
      </w:r>
      <w:r>
        <w:rPr>
          <w:rFonts w:hint="eastAsia"/>
          <w:color w:val="auto"/>
        </w:rPr>
        <w:t>射线的方法不能检验时，</w:t>
      </w:r>
      <w:r>
        <w:rPr>
          <w:rFonts w:hint="eastAsia"/>
          <w:b/>
          <w:color w:val="auto"/>
        </w:rPr>
        <w:t>应</w:t>
      </w:r>
      <w:r>
        <w:rPr>
          <w:rFonts w:hint="eastAsia"/>
          <w:color w:val="auto"/>
        </w:rPr>
        <w:t>采用超声波检验，执行</w:t>
      </w:r>
      <w:r>
        <w:rPr>
          <w:color w:val="auto"/>
        </w:rPr>
        <w:t>ASME</w:t>
      </w:r>
      <w:r>
        <w:rPr>
          <w:rFonts w:hint="eastAsia"/>
          <w:color w:val="auto"/>
        </w:rPr>
        <w:t>第Ⅷ部分相关验收标准。</w:t>
      </w:r>
    </w:p>
    <w:p w14:paraId="55B63CE2">
      <w:pPr>
        <w:pStyle w:val="90"/>
        <w:rPr>
          <w:color w:val="auto"/>
        </w:rPr>
      </w:pPr>
      <w:r>
        <w:rPr>
          <w:rFonts w:hint="eastAsia"/>
          <w:color w:val="auto"/>
        </w:rPr>
        <w:t>③ 制造商</w:t>
      </w:r>
      <w:r>
        <w:rPr>
          <w:rFonts w:hint="eastAsia"/>
          <w:b/>
          <w:color w:val="auto"/>
        </w:rPr>
        <w:t>应</w:t>
      </w:r>
      <w:r>
        <w:rPr>
          <w:rFonts w:hint="eastAsia"/>
          <w:color w:val="auto"/>
        </w:rPr>
        <w:t>对所有的焊接连接的端口进行</w:t>
      </w:r>
      <w:r>
        <w:rPr>
          <w:color w:val="auto"/>
        </w:rPr>
        <w:t>100%</w:t>
      </w:r>
      <w:r>
        <w:rPr>
          <w:rFonts w:hint="eastAsia"/>
          <w:color w:val="auto"/>
        </w:rPr>
        <w:t>的</w:t>
      </w:r>
      <w:r>
        <w:rPr>
          <w:color w:val="auto"/>
        </w:rPr>
        <w:t>X-</w:t>
      </w:r>
      <w:r>
        <w:rPr>
          <w:rFonts w:hint="eastAsia"/>
          <w:color w:val="auto"/>
        </w:rPr>
        <w:t>射线检验，其检验长度至少等于阀体厚度的两倍。</w:t>
      </w:r>
    </w:p>
    <w:p w14:paraId="50580737">
      <w:pPr>
        <w:pStyle w:val="90"/>
        <w:rPr>
          <w:color w:val="auto"/>
        </w:rPr>
      </w:pPr>
      <w:r>
        <w:rPr>
          <w:rFonts w:hint="eastAsia"/>
          <w:color w:val="auto"/>
        </w:rPr>
        <w:t>上述的测试对阀门铸件部分</w:t>
      </w:r>
      <w:r>
        <w:rPr>
          <w:rFonts w:hint="eastAsia"/>
          <w:b/>
          <w:color w:val="auto"/>
        </w:rPr>
        <w:t>应</w:t>
      </w:r>
      <w:r>
        <w:rPr>
          <w:rFonts w:hint="eastAsia"/>
          <w:color w:val="auto"/>
        </w:rPr>
        <w:t>进行</w:t>
      </w:r>
      <w:r>
        <w:rPr>
          <w:color w:val="auto"/>
        </w:rPr>
        <w:t>X-</w:t>
      </w:r>
      <w:r>
        <w:rPr>
          <w:rFonts w:hint="eastAsia"/>
          <w:color w:val="auto"/>
        </w:rPr>
        <w:t>射线检验，或对由管子、板材或锻造组成的部件进行超声波检验，执行</w:t>
      </w:r>
      <w:r>
        <w:rPr>
          <w:color w:val="auto"/>
        </w:rPr>
        <w:t>ASME</w:t>
      </w:r>
      <w:r>
        <w:rPr>
          <w:rFonts w:cs="宋体"/>
          <w:color w:val="auto"/>
        </w:rPr>
        <w:t xml:space="preserve"> B16.34</w:t>
      </w:r>
      <w:r>
        <w:rPr>
          <w:rFonts w:hint="eastAsia" w:cs="宋体"/>
          <w:color w:val="auto"/>
        </w:rPr>
        <w:t>相关验收标准</w:t>
      </w:r>
      <w:r>
        <w:rPr>
          <w:rFonts w:hint="eastAsia"/>
          <w:color w:val="auto"/>
        </w:rPr>
        <w:t>。</w:t>
      </w:r>
    </w:p>
    <w:p w14:paraId="428D58A4">
      <w:pPr>
        <w:pStyle w:val="92"/>
        <w:numPr>
          <w:ilvl w:val="1"/>
          <w:numId w:val="4"/>
        </w:numPr>
        <w:rPr>
          <w:kern w:val="44"/>
        </w:rPr>
      </w:pPr>
      <w:bookmarkStart w:id="113" w:name="_Toc8823"/>
      <w:bookmarkStart w:id="114" w:name="_Toc29551"/>
      <w:bookmarkStart w:id="115" w:name="_Toc12395"/>
      <w:bookmarkStart w:id="116" w:name="_Toc4549"/>
      <w:bookmarkStart w:id="117" w:name="_Toc28571"/>
      <w:bookmarkStart w:id="118" w:name="_Toc5731"/>
      <w:bookmarkStart w:id="119" w:name="_Toc445864480"/>
      <w:bookmarkStart w:id="120" w:name="_Toc664"/>
      <w:bookmarkStart w:id="121" w:name="_Toc2197"/>
      <w:bookmarkStart w:id="122" w:name="_Toc445800592"/>
      <w:bookmarkStart w:id="123" w:name="_Toc4018"/>
      <w:bookmarkStart w:id="124" w:name="_Toc9701"/>
      <w:bookmarkStart w:id="125" w:name="_Toc58226407"/>
      <w:bookmarkStart w:id="126" w:name="_Toc339469371"/>
      <w:r>
        <w:rPr>
          <w:rFonts w:hint="eastAsia"/>
          <w:kern w:val="44"/>
        </w:rPr>
        <w:t>阀门铭牌标识</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475C00F6">
      <w:pPr>
        <w:pStyle w:val="90"/>
        <w:rPr>
          <w:color w:val="auto"/>
        </w:rPr>
      </w:pPr>
      <w:bookmarkStart w:id="127" w:name="_Toc445800593"/>
      <w:r>
        <w:rPr>
          <w:rFonts w:hint="eastAsia"/>
          <w:color w:val="auto"/>
        </w:rPr>
        <w:t>所有阀门均按</w:t>
      </w:r>
      <w:r>
        <w:rPr>
          <w:color w:val="auto"/>
        </w:rPr>
        <w:t xml:space="preserve">API 6D </w:t>
      </w:r>
      <w:r>
        <w:rPr>
          <w:rFonts w:hint="eastAsia"/>
          <w:color w:val="auto"/>
        </w:rPr>
        <w:t>的规定进行标识，对于因阀门尺寸和形状限制了标识的，阀体上至少</w:t>
      </w:r>
      <w:r>
        <w:rPr>
          <w:rFonts w:hint="eastAsia"/>
          <w:b/>
          <w:color w:val="auto"/>
        </w:rPr>
        <w:t>应</w:t>
      </w:r>
      <w:r>
        <w:rPr>
          <w:rFonts w:hint="eastAsia"/>
          <w:color w:val="auto"/>
        </w:rPr>
        <w:t>标记下列内容：公称直径和公称压力、阀门型号、阀体材料及熔炉号、制造商名称及商标、阀门出厂编号（编号</w:t>
      </w:r>
      <w:r>
        <w:rPr>
          <w:rFonts w:hint="eastAsia"/>
          <w:b/>
          <w:color w:val="auto"/>
        </w:rPr>
        <w:t>应</w:t>
      </w:r>
      <w:r>
        <w:rPr>
          <w:rFonts w:hint="eastAsia"/>
          <w:color w:val="auto"/>
        </w:rPr>
        <w:t>可追溯阀门质量控制全过程）。所有标识采用公制单位。</w:t>
      </w:r>
    </w:p>
    <w:p w14:paraId="63B8D96D">
      <w:pPr>
        <w:pStyle w:val="90"/>
        <w:rPr>
          <w:color w:val="auto"/>
        </w:rPr>
      </w:pPr>
      <w:r>
        <w:rPr>
          <w:rFonts w:hint="eastAsia"/>
          <w:color w:val="auto"/>
        </w:rPr>
        <w:t>阀门铭牌采用316不锈钢制作,铭牌上</w:t>
      </w:r>
      <w:r>
        <w:rPr>
          <w:rFonts w:hint="eastAsia"/>
          <w:b/>
          <w:color w:val="auto"/>
        </w:rPr>
        <w:t>应</w:t>
      </w:r>
      <w:r>
        <w:rPr>
          <w:rFonts w:hint="eastAsia"/>
          <w:color w:val="auto"/>
        </w:rPr>
        <w:t>标有阀门位号（站场+位号）、阀门规格型号和阀门出厂编号及其它制造商自己规定的内容。</w:t>
      </w:r>
      <w:bookmarkEnd w:id="127"/>
    </w:p>
    <w:p w14:paraId="71EAD4F8">
      <w:pPr>
        <w:pStyle w:val="92"/>
        <w:numPr>
          <w:ilvl w:val="1"/>
          <w:numId w:val="4"/>
        </w:numPr>
        <w:rPr>
          <w:kern w:val="44"/>
        </w:rPr>
      </w:pPr>
      <w:bookmarkStart w:id="128" w:name="_Toc1263"/>
      <w:bookmarkStart w:id="129" w:name="_Toc17599"/>
      <w:bookmarkStart w:id="130" w:name="_Toc445800595"/>
      <w:bookmarkStart w:id="131" w:name="_Toc17389"/>
      <w:bookmarkStart w:id="132" w:name="_Toc339469372"/>
      <w:bookmarkStart w:id="133" w:name="_Toc30454"/>
      <w:bookmarkStart w:id="134" w:name="_Toc29303"/>
      <w:bookmarkStart w:id="135" w:name="_Toc7620"/>
      <w:bookmarkStart w:id="136" w:name="_Toc9775"/>
      <w:bookmarkStart w:id="137" w:name="_Toc7495"/>
      <w:bookmarkStart w:id="138" w:name="_Toc2098"/>
      <w:bookmarkStart w:id="139" w:name="_Toc58226408"/>
      <w:bookmarkStart w:id="140" w:name="_Toc445864481"/>
      <w:bookmarkStart w:id="141" w:name="_Toc32131"/>
      <w:r>
        <w:rPr>
          <w:rFonts w:hint="eastAsia"/>
          <w:kern w:val="44"/>
        </w:rPr>
        <w:t>表面预处理、喷漆和涂层</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13482505">
      <w:pPr>
        <w:pStyle w:val="95"/>
        <w:numPr>
          <w:ilvl w:val="2"/>
          <w:numId w:val="4"/>
        </w:numPr>
      </w:pPr>
      <w:bookmarkStart w:id="142" w:name="_Toc17703"/>
      <w:bookmarkStart w:id="143" w:name="_Toc445800596"/>
      <w:r>
        <w:rPr>
          <w:rFonts w:hint="eastAsia"/>
        </w:rPr>
        <w:t>喷砂处理要求</w:t>
      </w:r>
      <w:bookmarkEnd w:id="142"/>
      <w:bookmarkEnd w:id="143"/>
    </w:p>
    <w:p w14:paraId="6E89699A">
      <w:pPr>
        <w:pStyle w:val="90"/>
        <w:rPr>
          <w:color w:val="auto"/>
        </w:rPr>
      </w:pPr>
      <w:r>
        <w:rPr>
          <w:rFonts w:hint="eastAsia"/>
          <w:color w:val="auto"/>
        </w:rPr>
        <w:t>除了机加工表面外，所有的金属表面在喷漆或其它涂层前都要进行喷砂处理。喷砂处理前，表面的油和油脂</w:t>
      </w:r>
      <w:r>
        <w:rPr>
          <w:rFonts w:hint="eastAsia"/>
          <w:b/>
          <w:color w:val="auto"/>
        </w:rPr>
        <w:t>应</w:t>
      </w:r>
      <w:r>
        <w:rPr>
          <w:rFonts w:hint="eastAsia"/>
          <w:color w:val="auto"/>
        </w:rPr>
        <w:t>清理干净并将锋利的边角及焊渣打磨光滑。气候和环境条件</w:t>
      </w:r>
      <w:r>
        <w:rPr>
          <w:rFonts w:hint="eastAsia"/>
          <w:b/>
          <w:color w:val="auto"/>
        </w:rPr>
        <w:t>必须</w:t>
      </w:r>
      <w:r>
        <w:rPr>
          <w:rFonts w:hint="eastAsia"/>
          <w:color w:val="auto"/>
        </w:rPr>
        <w:t>适合喷砂操作。</w:t>
      </w:r>
    </w:p>
    <w:p w14:paraId="1FA8A329">
      <w:pPr>
        <w:pStyle w:val="90"/>
        <w:rPr>
          <w:color w:val="auto"/>
        </w:rPr>
      </w:pPr>
      <w:r>
        <w:rPr>
          <w:rFonts w:hint="eastAsia"/>
          <w:color w:val="auto"/>
        </w:rPr>
        <w:t>喷砂处理的表面，在生锈前</w:t>
      </w:r>
      <w:r>
        <w:rPr>
          <w:rFonts w:hint="eastAsia"/>
          <w:b/>
          <w:color w:val="auto"/>
        </w:rPr>
        <w:t>应</w:t>
      </w:r>
      <w:r>
        <w:rPr>
          <w:rFonts w:hint="eastAsia"/>
          <w:color w:val="auto"/>
        </w:rPr>
        <w:t>尽快地涂敷涂层。在正常条件下，喷砂处理和喷漆或涂敷之间的间隔不能超过</w:t>
      </w:r>
      <w:r>
        <w:rPr>
          <w:color w:val="auto"/>
        </w:rPr>
        <w:t>8</w:t>
      </w:r>
      <w:r>
        <w:rPr>
          <w:rFonts w:hint="eastAsia"/>
          <w:color w:val="auto"/>
        </w:rPr>
        <w:t>小时。对于暴露在环境温度下的钢表面，处理等级</w:t>
      </w:r>
      <w:r>
        <w:rPr>
          <w:rFonts w:hint="eastAsia"/>
          <w:b/>
          <w:color w:val="auto"/>
        </w:rPr>
        <w:t>应</w:t>
      </w:r>
      <w:r>
        <w:rPr>
          <w:rFonts w:hint="eastAsia"/>
          <w:color w:val="auto"/>
        </w:rPr>
        <w:t>达到</w:t>
      </w:r>
      <w:r>
        <w:rPr>
          <w:color w:val="auto"/>
        </w:rPr>
        <w:t>Sa2.5</w:t>
      </w:r>
      <w:r>
        <w:rPr>
          <w:rFonts w:hint="eastAsia"/>
          <w:color w:val="auto"/>
        </w:rPr>
        <w:t>级标准。</w:t>
      </w:r>
    </w:p>
    <w:p w14:paraId="4FD7EF9A">
      <w:pPr>
        <w:pStyle w:val="95"/>
        <w:numPr>
          <w:ilvl w:val="2"/>
          <w:numId w:val="4"/>
        </w:numPr>
      </w:pPr>
      <w:bookmarkStart w:id="144" w:name="_Toc15349"/>
      <w:bookmarkStart w:id="145" w:name="_Toc445800597"/>
      <w:r>
        <w:rPr>
          <w:rFonts w:hint="eastAsia"/>
        </w:rPr>
        <w:t>表面预处理和涂层涂敷</w:t>
      </w:r>
      <w:bookmarkEnd w:id="144"/>
      <w:bookmarkEnd w:id="145"/>
    </w:p>
    <w:p w14:paraId="25A3AE30">
      <w:pPr>
        <w:pStyle w:val="90"/>
        <w:rPr>
          <w:color w:val="auto"/>
        </w:rPr>
      </w:pPr>
      <w:r>
        <w:rPr>
          <w:rFonts w:hint="eastAsia"/>
          <w:color w:val="auto"/>
        </w:rPr>
        <w:t>在喷漆或涂敷涂层前，阀门内部和外部部件表面要进行真空吸尘处理或用刷子刷掉所有的灰尘，以免灰尘妨碍底漆的附着能力。并要遵守表面清理的标准仔细进行污染物、油和灰尘的检查。制造商所用的防腐涂料的类别</w:t>
      </w:r>
      <w:r>
        <w:rPr>
          <w:rFonts w:hint="eastAsia"/>
          <w:b/>
          <w:color w:val="auto"/>
        </w:rPr>
        <w:t>应</w:t>
      </w:r>
      <w:r>
        <w:rPr>
          <w:rFonts w:hint="eastAsia"/>
          <w:color w:val="auto"/>
        </w:rPr>
        <w:t>在图纸上标明供审批。</w:t>
      </w:r>
    </w:p>
    <w:p w14:paraId="094E6BAB">
      <w:pPr>
        <w:pStyle w:val="90"/>
        <w:rPr>
          <w:color w:val="auto"/>
        </w:rPr>
      </w:pPr>
      <w:r>
        <w:rPr>
          <w:rFonts w:hint="eastAsia"/>
          <w:color w:val="auto"/>
        </w:rPr>
        <w:t>所有需润滑的部件都</w:t>
      </w:r>
      <w:r>
        <w:rPr>
          <w:rFonts w:hint="eastAsia"/>
          <w:b/>
          <w:color w:val="auto"/>
        </w:rPr>
        <w:t>应</w:t>
      </w:r>
      <w:r>
        <w:rPr>
          <w:rFonts w:hint="eastAsia"/>
          <w:color w:val="auto"/>
        </w:rPr>
        <w:t>加注润滑脂。阀门制造商</w:t>
      </w:r>
      <w:r>
        <w:rPr>
          <w:rFonts w:hint="eastAsia"/>
          <w:b/>
          <w:color w:val="auto"/>
        </w:rPr>
        <w:t>应</w:t>
      </w:r>
      <w:r>
        <w:rPr>
          <w:rFonts w:hint="eastAsia"/>
          <w:color w:val="auto"/>
        </w:rPr>
        <w:t>采用防水塞对阀门进行隔离以保护阀座，防止油漆渗透。</w:t>
      </w:r>
    </w:p>
    <w:p w14:paraId="44387860">
      <w:pPr>
        <w:pStyle w:val="95"/>
        <w:numPr>
          <w:ilvl w:val="2"/>
          <w:numId w:val="4"/>
        </w:numPr>
      </w:pPr>
      <w:bookmarkStart w:id="146" w:name="_Toc445800598"/>
      <w:bookmarkStart w:id="147" w:name="_Toc716"/>
      <w:r>
        <w:rPr>
          <w:rFonts w:hint="eastAsia"/>
        </w:rPr>
        <w:t>面漆预处理和涂敷</w:t>
      </w:r>
      <w:bookmarkEnd w:id="146"/>
      <w:bookmarkEnd w:id="147"/>
    </w:p>
    <w:p w14:paraId="6117C8EF">
      <w:pPr>
        <w:pStyle w:val="90"/>
        <w:rPr>
          <w:color w:val="auto"/>
        </w:rPr>
      </w:pPr>
      <w:r>
        <w:rPr>
          <w:rFonts w:hint="eastAsia"/>
          <w:color w:val="auto"/>
        </w:rPr>
        <w:t>检查底漆表面由于搬运和组装引起的损伤情况</w:t>
      </w:r>
      <w:r>
        <w:rPr>
          <w:color w:val="auto"/>
        </w:rPr>
        <w:t>,</w:t>
      </w:r>
      <w:r>
        <w:rPr>
          <w:rFonts w:hint="eastAsia"/>
          <w:color w:val="auto"/>
        </w:rPr>
        <w:t>并</w:t>
      </w:r>
      <w:r>
        <w:rPr>
          <w:rFonts w:hint="eastAsia"/>
          <w:b/>
          <w:color w:val="auto"/>
        </w:rPr>
        <w:t>应</w:t>
      </w:r>
      <w:r>
        <w:rPr>
          <w:rFonts w:hint="eastAsia"/>
          <w:color w:val="auto"/>
        </w:rPr>
        <w:t>对所有损伤区域在涂敷面漆之前进行修补。</w:t>
      </w:r>
    </w:p>
    <w:p w14:paraId="31CFC281">
      <w:pPr>
        <w:pStyle w:val="90"/>
        <w:rPr>
          <w:color w:val="auto"/>
        </w:rPr>
      </w:pPr>
      <w:r>
        <w:rPr>
          <w:rFonts w:hint="eastAsia"/>
          <w:color w:val="auto"/>
        </w:rPr>
        <w:t>在涂敷第二层面漆之前，对第一层底漆进行很好的固化。所有涂过底漆的表面</w:t>
      </w:r>
      <w:r>
        <w:rPr>
          <w:rFonts w:hint="eastAsia"/>
          <w:b/>
          <w:color w:val="auto"/>
        </w:rPr>
        <w:t>必须</w:t>
      </w:r>
      <w:r>
        <w:rPr>
          <w:rFonts w:hint="eastAsia"/>
          <w:color w:val="auto"/>
        </w:rPr>
        <w:t>用干净的清水彻底清理并干燥，在涂敷面漆之前</w:t>
      </w:r>
      <w:r>
        <w:rPr>
          <w:rFonts w:hint="eastAsia"/>
          <w:b/>
          <w:color w:val="auto"/>
        </w:rPr>
        <w:t>必须</w:t>
      </w:r>
      <w:r>
        <w:rPr>
          <w:rFonts w:hint="eastAsia"/>
          <w:color w:val="auto"/>
        </w:rPr>
        <w:t>用溶剂清除底漆面上的任何油污或油脂。</w:t>
      </w:r>
    </w:p>
    <w:p w14:paraId="4D239518">
      <w:pPr>
        <w:pStyle w:val="90"/>
        <w:rPr>
          <w:color w:val="auto"/>
        </w:rPr>
      </w:pPr>
      <w:r>
        <w:rPr>
          <w:rFonts w:hint="eastAsia"/>
          <w:color w:val="auto"/>
        </w:rPr>
        <w:t>法兰面、焊接坡口端和外露的阀杆</w:t>
      </w:r>
      <w:r>
        <w:rPr>
          <w:rFonts w:hint="eastAsia"/>
          <w:b/>
          <w:color w:val="auto"/>
        </w:rPr>
        <w:t>不应</w:t>
      </w:r>
      <w:r>
        <w:rPr>
          <w:rFonts w:hint="eastAsia"/>
          <w:color w:val="auto"/>
        </w:rPr>
        <w:t>涂漆。</w:t>
      </w:r>
    </w:p>
    <w:p w14:paraId="4A3C9FC3">
      <w:pPr>
        <w:pStyle w:val="95"/>
        <w:numPr>
          <w:ilvl w:val="2"/>
          <w:numId w:val="4"/>
        </w:numPr>
      </w:pPr>
      <w:bookmarkStart w:id="148" w:name="_Toc12085"/>
      <w:r>
        <w:rPr>
          <w:rFonts w:hint="eastAsia"/>
        </w:rPr>
        <w:t>机加工表面涂层</w:t>
      </w:r>
      <w:bookmarkEnd w:id="148"/>
    </w:p>
    <w:p w14:paraId="0648FB86">
      <w:pPr>
        <w:pStyle w:val="90"/>
        <w:rPr>
          <w:color w:val="auto"/>
        </w:rPr>
      </w:pPr>
      <w:r>
        <w:rPr>
          <w:rFonts w:hint="eastAsia"/>
          <w:color w:val="auto"/>
        </w:rPr>
        <w:t>经过机加工的表面</w:t>
      </w:r>
      <w:r>
        <w:rPr>
          <w:rFonts w:hint="eastAsia"/>
          <w:b/>
          <w:color w:val="auto"/>
        </w:rPr>
        <w:t>应</w:t>
      </w:r>
      <w:r>
        <w:rPr>
          <w:rFonts w:hint="eastAsia"/>
          <w:color w:val="auto"/>
        </w:rPr>
        <w:t>用防锈剂涂敷，防锈剂在安装阀门或在阀门上安装执行机构前可以容易地被除去。</w:t>
      </w:r>
    </w:p>
    <w:p w14:paraId="096C0CB3">
      <w:pPr>
        <w:pStyle w:val="94"/>
        <w:numPr>
          <w:ilvl w:val="0"/>
          <w:numId w:val="4"/>
        </w:numPr>
      </w:pPr>
      <w:bookmarkStart w:id="149" w:name="_Toc30749"/>
      <w:r>
        <w:rPr>
          <w:rFonts w:hint="eastAsia"/>
        </w:rPr>
        <w:t>电动执行机构</w:t>
      </w:r>
      <w:bookmarkEnd w:id="149"/>
    </w:p>
    <w:p w14:paraId="20C363DE">
      <w:pPr>
        <w:pStyle w:val="92"/>
        <w:numPr>
          <w:ilvl w:val="1"/>
          <w:numId w:val="4"/>
        </w:numPr>
      </w:pPr>
      <w:r>
        <w:rPr>
          <w:rFonts w:hint="eastAsia"/>
        </w:rPr>
        <w:t>电动执行机构技术要求</w:t>
      </w:r>
    </w:p>
    <w:p w14:paraId="21536D37">
      <w:pPr>
        <w:pStyle w:val="95"/>
        <w:numPr>
          <w:ilvl w:val="2"/>
          <w:numId w:val="4"/>
        </w:numPr>
      </w:pPr>
      <w:r>
        <w:rPr>
          <w:rFonts w:hint="eastAsia"/>
        </w:rPr>
        <w:t>总则</w:t>
      </w:r>
    </w:p>
    <w:p w14:paraId="3782795A">
      <w:pPr>
        <w:pStyle w:val="96"/>
        <w:numPr>
          <w:ilvl w:val="0"/>
          <w:numId w:val="13"/>
        </w:numPr>
        <w:tabs>
          <w:tab w:val="clear" w:pos="855"/>
        </w:tabs>
        <w:ind w:firstLine="560"/>
        <w:rPr>
          <w:color w:val="auto"/>
        </w:rPr>
      </w:pPr>
      <w:r>
        <w:rPr>
          <w:rFonts w:hint="eastAsia"/>
          <w:color w:val="auto"/>
        </w:rPr>
        <w:t>电动执行机构</w:t>
      </w:r>
      <w:r>
        <w:rPr>
          <w:rFonts w:hint="eastAsia"/>
          <w:b/>
          <w:color w:val="auto"/>
        </w:rPr>
        <w:t>应</w:t>
      </w:r>
      <w:r>
        <w:rPr>
          <w:rFonts w:hint="eastAsia"/>
          <w:color w:val="auto"/>
        </w:rPr>
        <w:t>具有以下技术特性：</w:t>
      </w:r>
    </w:p>
    <w:p w14:paraId="7F4DD66D">
      <w:pPr>
        <w:pStyle w:val="90"/>
        <w:rPr>
          <w:color w:val="auto"/>
        </w:rPr>
      </w:pPr>
      <w:r>
        <w:rPr>
          <w:rFonts w:hint="eastAsia"/>
          <w:color w:val="auto"/>
        </w:rPr>
        <w:t>- 电动执行机构安装的场合为室外，防护等级</w:t>
      </w:r>
      <w:r>
        <w:rPr>
          <w:rFonts w:hint="eastAsia"/>
          <w:b/>
          <w:color w:val="auto"/>
        </w:rPr>
        <w:t>不应</w:t>
      </w:r>
      <w:r>
        <w:rPr>
          <w:rFonts w:hint="eastAsia"/>
          <w:color w:val="auto"/>
        </w:rPr>
        <w:t>低于IP67；</w:t>
      </w:r>
    </w:p>
    <w:p w14:paraId="20BCED81">
      <w:pPr>
        <w:pStyle w:val="90"/>
        <w:rPr>
          <w:color w:val="auto"/>
        </w:rPr>
      </w:pPr>
      <w:r>
        <w:rPr>
          <w:rFonts w:hint="eastAsia"/>
          <w:color w:val="auto"/>
        </w:rPr>
        <w:t xml:space="preserve">- </w:t>
      </w:r>
      <w:r>
        <w:rPr>
          <w:rFonts w:hint="eastAsia"/>
          <w:b/>
          <w:color w:val="auto"/>
        </w:rPr>
        <w:t>应</w:t>
      </w:r>
      <w:r>
        <w:rPr>
          <w:rFonts w:hint="eastAsia"/>
          <w:color w:val="auto"/>
        </w:rPr>
        <w:t>符合欧洲电工技术标准化委员会的规范EN50018，并提供经授权的实验室签发的证书。</w:t>
      </w:r>
    </w:p>
    <w:p w14:paraId="70C04E47">
      <w:pPr>
        <w:pStyle w:val="90"/>
        <w:rPr>
          <w:color w:val="auto"/>
        </w:rPr>
      </w:pPr>
      <w:r>
        <w:rPr>
          <w:rFonts w:hint="eastAsia"/>
          <w:color w:val="auto"/>
        </w:rPr>
        <w:t>- 阀门/执行机构系统</w:t>
      </w:r>
      <w:r>
        <w:rPr>
          <w:rFonts w:hint="eastAsia"/>
          <w:b/>
          <w:color w:val="auto"/>
        </w:rPr>
        <w:t>应</w:t>
      </w:r>
      <w:r>
        <w:rPr>
          <w:rFonts w:hint="eastAsia"/>
          <w:color w:val="auto"/>
        </w:rPr>
        <w:t>是自锁的。齿轮</w:t>
      </w:r>
      <w:r>
        <w:rPr>
          <w:rFonts w:hint="eastAsia"/>
          <w:b/>
          <w:color w:val="auto"/>
        </w:rPr>
        <w:t>应</w:t>
      </w:r>
      <w:r>
        <w:rPr>
          <w:rFonts w:hint="eastAsia"/>
          <w:color w:val="auto"/>
        </w:rPr>
        <w:t>采用润滑脂或润滑油润滑。所有在阀杆运动传动中的转动部件</w:t>
      </w:r>
      <w:r>
        <w:rPr>
          <w:rFonts w:hint="eastAsia"/>
          <w:b/>
          <w:color w:val="auto"/>
        </w:rPr>
        <w:t>应</w:t>
      </w:r>
      <w:r>
        <w:rPr>
          <w:rFonts w:hint="eastAsia"/>
          <w:color w:val="auto"/>
        </w:rPr>
        <w:t>在轴承上转动。</w:t>
      </w:r>
    </w:p>
    <w:p w14:paraId="27EDA418">
      <w:pPr>
        <w:pStyle w:val="96"/>
        <w:numPr>
          <w:ilvl w:val="0"/>
          <w:numId w:val="5"/>
        </w:numPr>
        <w:tabs>
          <w:tab w:val="clear" w:pos="855"/>
        </w:tabs>
        <w:ind w:firstLine="560"/>
        <w:rPr>
          <w:color w:val="auto"/>
        </w:rPr>
      </w:pPr>
      <w:r>
        <w:rPr>
          <w:rFonts w:hint="eastAsia"/>
          <w:color w:val="auto"/>
        </w:rPr>
        <w:t>供方推荐的主要设备</w:t>
      </w:r>
      <w:r>
        <w:rPr>
          <w:rFonts w:hint="eastAsia"/>
          <w:b/>
          <w:color w:val="auto"/>
        </w:rPr>
        <w:t>应</w:t>
      </w:r>
      <w:r>
        <w:rPr>
          <w:rFonts w:hint="eastAsia"/>
          <w:color w:val="auto"/>
        </w:rPr>
        <w:t>是标准型产品，采用硬线连接，并</w:t>
      </w:r>
      <w:r>
        <w:rPr>
          <w:rFonts w:hint="eastAsia"/>
          <w:b/>
          <w:color w:val="auto"/>
        </w:rPr>
        <w:t>应</w:t>
      </w:r>
      <w:r>
        <w:rPr>
          <w:rFonts w:hint="eastAsia"/>
          <w:color w:val="auto"/>
        </w:rPr>
        <w:t>设计成在要求的操作条件下能连续运转。</w:t>
      </w:r>
    </w:p>
    <w:p w14:paraId="133AC933">
      <w:pPr>
        <w:pStyle w:val="96"/>
        <w:numPr>
          <w:ilvl w:val="0"/>
          <w:numId w:val="5"/>
        </w:numPr>
        <w:tabs>
          <w:tab w:val="clear" w:pos="855"/>
        </w:tabs>
        <w:ind w:firstLine="560"/>
        <w:rPr>
          <w:color w:val="auto"/>
        </w:rPr>
      </w:pPr>
      <w:r>
        <w:rPr>
          <w:rFonts w:hint="eastAsia"/>
          <w:color w:val="auto"/>
        </w:rPr>
        <w:t>任何给定阀门的执行机构所需扭矩由以下因素决定：</w:t>
      </w:r>
    </w:p>
    <w:p w14:paraId="714DD4C4">
      <w:pPr>
        <w:pStyle w:val="90"/>
        <w:rPr>
          <w:color w:val="auto"/>
        </w:rPr>
      </w:pPr>
      <w:r>
        <w:rPr>
          <w:rFonts w:hint="eastAsia"/>
          <w:color w:val="auto"/>
        </w:rPr>
        <w:t>- 阀门尺寸；</w:t>
      </w:r>
    </w:p>
    <w:p w14:paraId="29654C8C">
      <w:pPr>
        <w:pStyle w:val="90"/>
        <w:rPr>
          <w:color w:val="auto"/>
        </w:rPr>
      </w:pPr>
      <w:r>
        <w:rPr>
          <w:rFonts w:hint="eastAsia"/>
          <w:color w:val="auto"/>
        </w:rPr>
        <w:t>- 阀门类型（等级系列）；</w:t>
      </w:r>
    </w:p>
    <w:p w14:paraId="214EBCAF">
      <w:pPr>
        <w:pStyle w:val="90"/>
        <w:rPr>
          <w:color w:val="auto"/>
        </w:rPr>
      </w:pPr>
      <w:r>
        <w:rPr>
          <w:rFonts w:hint="eastAsia"/>
          <w:color w:val="auto"/>
        </w:rPr>
        <w:t>- 阀门的密封结构；</w:t>
      </w:r>
    </w:p>
    <w:p w14:paraId="0E526EFC">
      <w:pPr>
        <w:pStyle w:val="90"/>
        <w:rPr>
          <w:color w:val="auto"/>
        </w:rPr>
      </w:pPr>
      <w:r>
        <w:rPr>
          <w:rFonts w:hint="eastAsia"/>
          <w:color w:val="auto"/>
        </w:rPr>
        <w:t>- 管线压力；</w:t>
      </w:r>
    </w:p>
    <w:p w14:paraId="458CA499">
      <w:pPr>
        <w:pStyle w:val="90"/>
        <w:rPr>
          <w:color w:val="auto"/>
        </w:rPr>
      </w:pPr>
      <w:r>
        <w:rPr>
          <w:rFonts w:hint="eastAsia"/>
          <w:color w:val="auto"/>
        </w:rPr>
        <w:t>- 最大压差；</w:t>
      </w:r>
    </w:p>
    <w:p w14:paraId="64F78777">
      <w:pPr>
        <w:pStyle w:val="90"/>
        <w:rPr>
          <w:color w:val="auto"/>
        </w:rPr>
      </w:pPr>
      <w:r>
        <w:rPr>
          <w:rFonts w:hint="eastAsia"/>
          <w:color w:val="auto"/>
        </w:rPr>
        <w:t>- 操作温度；</w:t>
      </w:r>
    </w:p>
    <w:p w14:paraId="7CCB38C1">
      <w:pPr>
        <w:pStyle w:val="90"/>
        <w:rPr>
          <w:color w:val="auto"/>
        </w:rPr>
      </w:pPr>
      <w:r>
        <w:rPr>
          <w:rFonts w:hint="eastAsia"/>
          <w:color w:val="auto"/>
        </w:rPr>
        <w:t>- 管线内介质类型；</w:t>
      </w:r>
    </w:p>
    <w:p w14:paraId="2CCD05B4">
      <w:pPr>
        <w:pStyle w:val="90"/>
        <w:rPr>
          <w:color w:val="auto"/>
        </w:rPr>
      </w:pPr>
      <w:r>
        <w:rPr>
          <w:rFonts w:hint="eastAsia"/>
          <w:color w:val="auto"/>
        </w:rPr>
        <w:t>- 环境温度；</w:t>
      </w:r>
    </w:p>
    <w:p w14:paraId="2DF68F99">
      <w:pPr>
        <w:pStyle w:val="90"/>
        <w:rPr>
          <w:color w:val="auto"/>
        </w:rPr>
      </w:pPr>
      <w:r>
        <w:rPr>
          <w:rFonts w:hint="eastAsia"/>
          <w:color w:val="auto"/>
        </w:rPr>
        <w:t>- 阀杆尺寸。</w:t>
      </w:r>
    </w:p>
    <w:p w14:paraId="32EEB981">
      <w:pPr>
        <w:pStyle w:val="90"/>
        <w:rPr>
          <w:color w:val="auto"/>
        </w:rPr>
      </w:pPr>
      <w:r>
        <w:rPr>
          <w:rFonts w:hint="eastAsia"/>
          <w:color w:val="auto"/>
        </w:rPr>
        <w:t>因此，阀门制造商</w:t>
      </w:r>
      <w:r>
        <w:rPr>
          <w:rFonts w:hint="eastAsia"/>
          <w:b/>
          <w:color w:val="auto"/>
        </w:rPr>
        <w:t>应</w:t>
      </w:r>
      <w:r>
        <w:rPr>
          <w:rFonts w:hint="eastAsia"/>
          <w:color w:val="auto"/>
        </w:rPr>
        <w:t>提供执行机构所需的扭矩（开启/关闭扭矩、运行扭矩和阀杆最大扭矩）。阀门和轭</w:t>
      </w:r>
      <w:r>
        <w:rPr>
          <w:rFonts w:hint="eastAsia"/>
          <w:b/>
          <w:color w:val="auto"/>
        </w:rPr>
        <w:t>应</w:t>
      </w:r>
      <w:r>
        <w:rPr>
          <w:rFonts w:hint="eastAsia"/>
          <w:color w:val="auto"/>
        </w:rPr>
        <w:t>能够承受执行机构产生的最大推力（或扭力）。</w:t>
      </w:r>
    </w:p>
    <w:p w14:paraId="18DD70DC">
      <w:pPr>
        <w:pStyle w:val="96"/>
        <w:numPr>
          <w:ilvl w:val="0"/>
          <w:numId w:val="5"/>
        </w:numPr>
        <w:tabs>
          <w:tab w:val="clear" w:pos="855"/>
        </w:tabs>
        <w:ind w:firstLine="560"/>
        <w:rPr>
          <w:color w:val="auto"/>
        </w:rPr>
      </w:pPr>
      <w:r>
        <w:rPr>
          <w:rFonts w:hint="eastAsia"/>
          <w:color w:val="auto"/>
        </w:rPr>
        <w:t>供方</w:t>
      </w:r>
      <w:r>
        <w:rPr>
          <w:rFonts w:hint="eastAsia"/>
          <w:b/>
          <w:color w:val="auto"/>
        </w:rPr>
        <w:t>必须</w:t>
      </w:r>
      <w:r>
        <w:rPr>
          <w:rFonts w:hint="eastAsia"/>
          <w:color w:val="auto"/>
        </w:rPr>
        <w:t>核实由购方指定的阀门制造商所提供的执行机构的扭矩要求，</w:t>
      </w:r>
      <w:r>
        <w:rPr>
          <w:rFonts w:hint="eastAsia"/>
          <w:b/>
          <w:color w:val="auto"/>
        </w:rPr>
        <w:t>应</w:t>
      </w:r>
      <w:r>
        <w:rPr>
          <w:rFonts w:hint="eastAsia"/>
          <w:color w:val="auto"/>
        </w:rPr>
        <w:t>特别注意选用正确规格的执行机构，</w:t>
      </w:r>
      <w:r>
        <w:rPr>
          <w:rFonts w:hint="eastAsia"/>
          <w:b/>
          <w:color w:val="auto"/>
        </w:rPr>
        <w:t>必须</w:t>
      </w:r>
      <w:r>
        <w:rPr>
          <w:rFonts w:hint="eastAsia"/>
          <w:color w:val="auto"/>
        </w:rPr>
        <w:t>保证阀门在最大压差、最低阀体温度和最小润滑条件关闭或开启时有足够的扭矩。供方的报价单中</w:t>
      </w:r>
      <w:r>
        <w:rPr>
          <w:rFonts w:hint="eastAsia"/>
          <w:b/>
          <w:color w:val="auto"/>
        </w:rPr>
        <w:t>应</w:t>
      </w:r>
      <w:r>
        <w:rPr>
          <w:rFonts w:hint="eastAsia"/>
          <w:color w:val="auto"/>
        </w:rPr>
        <w:t>包括扭矩数据及连接件型式。</w:t>
      </w:r>
    </w:p>
    <w:p w14:paraId="120BDF9F">
      <w:pPr>
        <w:pStyle w:val="96"/>
        <w:numPr>
          <w:ilvl w:val="0"/>
          <w:numId w:val="5"/>
        </w:numPr>
        <w:tabs>
          <w:tab w:val="clear" w:pos="855"/>
        </w:tabs>
        <w:ind w:firstLine="560"/>
        <w:rPr>
          <w:color w:val="auto"/>
        </w:rPr>
      </w:pPr>
      <w:r>
        <w:rPr>
          <w:rFonts w:hint="eastAsia"/>
          <w:color w:val="auto"/>
        </w:rPr>
        <w:t>执行机构的选型</w:t>
      </w:r>
      <w:r>
        <w:rPr>
          <w:rFonts w:hint="eastAsia"/>
          <w:b/>
          <w:color w:val="auto"/>
        </w:rPr>
        <w:t>应</w:t>
      </w:r>
      <w:r>
        <w:rPr>
          <w:rFonts w:hint="eastAsia"/>
          <w:color w:val="auto"/>
        </w:rPr>
        <w:t>满足最恶劣条件下操作阀门的要求，并</w:t>
      </w:r>
      <w:r>
        <w:rPr>
          <w:rFonts w:hint="eastAsia"/>
          <w:b/>
          <w:color w:val="auto"/>
        </w:rPr>
        <w:t>必须</w:t>
      </w:r>
      <w:r>
        <w:rPr>
          <w:rFonts w:hint="eastAsia"/>
          <w:color w:val="auto"/>
        </w:rPr>
        <w:t>留有至少1.25倍的安全系数，以保证在最大差压下平稳操作阀门，并且不致对阀门造成损坏，执行机构还</w:t>
      </w:r>
      <w:r>
        <w:rPr>
          <w:rFonts w:hint="eastAsia"/>
          <w:b/>
          <w:color w:val="auto"/>
        </w:rPr>
        <w:t>必须</w:t>
      </w:r>
      <w:r>
        <w:rPr>
          <w:rFonts w:hint="eastAsia"/>
          <w:color w:val="auto"/>
        </w:rPr>
        <w:t>有超扭矩与限位保护的功能。</w:t>
      </w:r>
    </w:p>
    <w:p w14:paraId="602FBB08">
      <w:pPr>
        <w:pStyle w:val="96"/>
        <w:numPr>
          <w:ilvl w:val="0"/>
          <w:numId w:val="5"/>
        </w:numPr>
        <w:tabs>
          <w:tab w:val="clear" w:pos="855"/>
        </w:tabs>
        <w:ind w:firstLine="560"/>
        <w:rPr>
          <w:color w:val="auto"/>
        </w:rPr>
      </w:pPr>
      <w:r>
        <w:rPr>
          <w:rFonts w:hint="eastAsia"/>
          <w:color w:val="auto"/>
        </w:rPr>
        <w:t>电动阀“开或关”的全行程时间见阀门规格表。</w:t>
      </w:r>
    </w:p>
    <w:p w14:paraId="5F470126">
      <w:pPr>
        <w:pStyle w:val="96"/>
        <w:numPr>
          <w:ilvl w:val="0"/>
          <w:numId w:val="5"/>
        </w:numPr>
        <w:tabs>
          <w:tab w:val="clear" w:pos="855"/>
        </w:tabs>
        <w:ind w:firstLine="560"/>
        <w:rPr>
          <w:color w:val="auto"/>
        </w:rPr>
      </w:pPr>
      <w:r>
        <w:rPr>
          <w:rFonts w:hint="eastAsia"/>
          <w:color w:val="auto"/>
        </w:rPr>
        <w:t>执行机构与阀门连接的接口由阀门供方提供。阀门供方</w:t>
      </w:r>
      <w:r>
        <w:rPr>
          <w:rFonts w:hint="eastAsia"/>
          <w:b/>
          <w:color w:val="auto"/>
        </w:rPr>
        <w:t>应</w:t>
      </w:r>
      <w:r>
        <w:rPr>
          <w:rFonts w:hint="eastAsia"/>
          <w:color w:val="auto"/>
        </w:rPr>
        <w:t>确保阀门的连接器与标准执行机构的连接器相匹配，以便任何执行机构的替换不牵涉附加的调整。执行机构的安装方向</w:t>
      </w:r>
      <w:r>
        <w:rPr>
          <w:rFonts w:hint="eastAsia"/>
          <w:b/>
          <w:color w:val="auto"/>
        </w:rPr>
        <w:t>应</w:t>
      </w:r>
      <w:r>
        <w:rPr>
          <w:rFonts w:hint="eastAsia"/>
          <w:color w:val="auto"/>
        </w:rPr>
        <w:t>能根据阀门的不同安装方向而改变。</w:t>
      </w:r>
    </w:p>
    <w:p w14:paraId="1DC3E5DB">
      <w:pPr>
        <w:pStyle w:val="96"/>
        <w:numPr>
          <w:ilvl w:val="0"/>
          <w:numId w:val="5"/>
        </w:numPr>
        <w:tabs>
          <w:tab w:val="clear" w:pos="855"/>
        </w:tabs>
        <w:ind w:firstLine="560"/>
        <w:rPr>
          <w:color w:val="auto"/>
        </w:rPr>
      </w:pPr>
      <w:r>
        <w:rPr>
          <w:rFonts w:hint="eastAsia"/>
          <w:color w:val="auto"/>
        </w:rPr>
        <w:t>执行机构和阀门间的连接部分由底座、调节轴衬和止推轴承组成，并且可以和执行机构分开。执行机构</w:t>
      </w:r>
      <w:r>
        <w:rPr>
          <w:rFonts w:hint="eastAsia"/>
          <w:b/>
          <w:color w:val="auto"/>
        </w:rPr>
        <w:t>应</w:t>
      </w:r>
      <w:r>
        <w:rPr>
          <w:rFonts w:hint="eastAsia"/>
          <w:color w:val="auto"/>
        </w:rPr>
        <w:t>包括一个“锤击”部件，以与阀门松开。</w:t>
      </w:r>
    </w:p>
    <w:p w14:paraId="7A381080">
      <w:pPr>
        <w:pStyle w:val="96"/>
        <w:numPr>
          <w:ilvl w:val="0"/>
          <w:numId w:val="5"/>
        </w:numPr>
        <w:tabs>
          <w:tab w:val="clear" w:pos="855"/>
        </w:tabs>
        <w:ind w:firstLine="560"/>
        <w:rPr>
          <w:color w:val="auto"/>
        </w:rPr>
      </w:pPr>
      <w:r>
        <w:rPr>
          <w:rFonts w:hint="eastAsia"/>
          <w:color w:val="auto"/>
        </w:rPr>
        <w:t>如果执行机构-阀门的螺栓连接轴套是青铜合金，其最低熔化点</w:t>
      </w:r>
      <w:r>
        <w:rPr>
          <w:rFonts w:hint="eastAsia"/>
          <w:b/>
          <w:color w:val="auto"/>
        </w:rPr>
        <w:t>应</w:t>
      </w:r>
      <w:r>
        <w:rPr>
          <w:rFonts w:hint="eastAsia"/>
          <w:color w:val="auto"/>
        </w:rPr>
        <w:t>高于1050℃。</w:t>
      </w:r>
    </w:p>
    <w:p w14:paraId="096E8B06">
      <w:pPr>
        <w:pStyle w:val="96"/>
        <w:numPr>
          <w:ilvl w:val="0"/>
          <w:numId w:val="5"/>
        </w:numPr>
        <w:tabs>
          <w:tab w:val="clear" w:pos="855"/>
        </w:tabs>
        <w:ind w:firstLine="560"/>
        <w:rPr>
          <w:color w:val="auto"/>
        </w:rPr>
      </w:pPr>
      <w:r>
        <w:rPr>
          <w:rFonts w:hint="eastAsia"/>
          <w:color w:val="auto"/>
        </w:rPr>
        <w:t>每一组阀门与执行机构组合的规格计算都</w:t>
      </w:r>
      <w:r>
        <w:rPr>
          <w:rFonts w:hint="eastAsia"/>
          <w:b/>
          <w:color w:val="auto"/>
        </w:rPr>
        <w:t>应</w:t>
      </w:r>
      <w:r>
        <w:rPr>
          <w:rFonts w:hint="eastAsia"/>
          <w:color w:val="auto"/>
        </w:rPr>
        <w:t>提交给购方，以证明满足上述要求。</w:t>
      </w:r>
    </w:p>
    <w:p w14:paraId="69690CFF">
      <w:pPr>
        <w:pStyle w:val="96"/>
        <w:numPr>
          <w:ilvl w:val="0"/>
          <w:numId w:val="5"/>
        </w:numPr>
        <w:tabs>
          <w:tab w:val="clear" w:pos="855"/>
        </w:tabs>
        <w:ind w:firstLine="560"/>
        <w:rPr>
          <w:color w:val="auto"/>
        </w:rPr>
      </w:pPr>
      <w:r>
        <w:rPr>
          <w:rFonts w:hint="eastAsia"/>
          <w:color w:val="auto"/>
        </w:rPr>
        <w:t>除特殊要求外，电动执行机构</w:t>
      </w:r>
      <w:r>
        <w:rPr>
          <w:rFonts w:hint="eastAsia"/>
          <w:b/>
          <w:color w:val="auto"/>
        </w:rPr>
        <w:t>必须</w:t>
      </w:r>
      <w:r>
        <w:rPr>
          <w:rFonts w:hint="eastAsia"/>
          <w:color w:val="auto"/>
        </w:rPr>
        <w:t>有失电保位的功能。</w:t>
      </w:r>
    </w:p>
    <w:p w14:paraId="19F2A165">
      <w:pPr>
        <w:pStyle w:val="96"/>
        <w:numPr>
          <w:ilvl w:val="0"/>
          <w:numId w:val="5"/>
        </w:numPr>
        <w:tabs>
          <w:tab w:val="clear" w:pos="855"/>
        </w:tabs>
        <w:ind w:firstLine="560"/>
        <w:rPr>
          <w:color w:val="auto"/>
        </w:rPr>
      </w:pPr>
      <w:r>
        <w:rPr>
          <w:rFonts w:hint="eastAsia"/>
          <w:color w:val="auto"/>
        </w:rPr>
        <w:t>阀门供方</w:t>
      </w:r>
      <w:r>
        <w:rPr>
          <w:rFonts w:hint="eastAsia"/>
          <w:b/>
          <w:color w:val="auto"/>
        </w:rPr>
        <w:t>应</w:t>
      </w:r>
      <w:r>
        <w:rPr>
          <w:rFonts w:hint="eastAsia"/>
          <w:color w:val="auto"/>
        </w:rPr>
        <w:t>负责阀门与执行机构的装配，提供的电动阀</w:t>
      </w:r>
      <w:r>
        <w:rPr>
          <w:rFonts w:hint="eastAsia"/>
          <w:b/>
          <w:color w:val="auto"/>
        </w:rPr>
        <w:t>必须</w:t>
      </w:r>
      <w:r>
        <w:rPr>
          <w:rFonts w:hint="eastAsia"/>
          <w:color w:val="auto"/>
        </w:rPr>
        <w:t>是一个独立的阀门和执行机构的整装体,执行机构的扭矩限制与限位开关</w:t>
      </w:r>
      <w:r>
        <w:rPr>
          <w:rFonts w:hint="eastAsia"/>
          <w:b/>
          <w:color w:val="auto"/>
        </w:rPr>
        <w:t>必须</w:t>
      </w:r>
      <w:r>
        <w:rPr>
          <w:rFonts w:hint="eastAsia"/>
          <w:color w:val="auto"/>
        </w:rPr>
        <w:t>在工厂设定好以便进行安装和连接外电源。</w:t>
      </w:r>
    </w:p>
    <w:p w14:paraId="77C83FCF">
      <w:pPr>
        <w:pStyle w:val="96"/>
        <w:numPr>
          <w:ilvl w:val="0"/>
          <w:numId w:val="5"/>
        </w:numPr>
        <w:tabs>
          <w:tab w:val="clear" w:pos="855"/>
        </w:tabs>
        <w:ind w:firstLine="560"/>
        <w:rPr>
          <w:color w:val="auto"/>
        </w:rPr>
      </w:pPr>
      <w:r>
        <w:rPr>
          <w:rFonts w:hint="eastAsia"/>
          <w:color w:val="auto"/>
        </w:rPr>
        <w:t>供方</w:t>
      </w:r>
      <w:r>
        <w:rPr>
          <w:rFonts w:hint="eastAsia"/>
          <w:b/>
          <w:color w:val="auto"/>
        </w:rPr>
        <w:t>应</w:t>
      </w:r>
      <w:r>
        <w:rPr>
          <w:rFonts w:hint="eastAsia"/>
          <w:color w:val="auto"/>
        </w:rPr>
        <w:t>在系统生产前将属于整装件的所有数据提交购方审批。供方没有按技术要求或在购方书面核准前所做的任何工作，其责任</w:t>
      </w:r>
      <w:r>
        <w:rPr>
          <w:rFonts w:hint="eastAsia"/>
          <w:b/>
          <w:color w:val="auto"/>
        </w:rPr>
        <w:t>应</w:t>
      </w:r>
      <w:r>
        <w:rPr>
          <w:rFonts w:hint="eastAsia"/>
          <w:color w:val="auto"/>
        </w:rPr>
        <w:t>由供方承担。</w:t>
      </w:r>
    </w:p>
    <w:p w14:paraId="2531D85F">
      <w:pPr>
        <w:pStyle w:val="96"/>
        <w:numPr>
          <w:ilvl w:val="0"/>
          <w:numId w:val="5"/>
        </w:numPr>
        <w:tabs>
          <w:tab w:val="clear" w:pos="855"/>
        </w:tabs>
        <w:ind w:firstLine="560"/>
        <w:rPr>
          <w:color w:val="auto"/>
        </w:rPr>
      </w:pPr>
      <w:r>
        <w:rPr>
          <w:rFonts w:hint="eastAsia"/>
          <w:color w:val="auto"/>
        </w:rPr>
        <w:t>执行机构厂家</w:t>
      </w:r>
      <w:r>
        <w:rPr>
          <w:rFonts w:hint="eastAsia"/>
          <w:b/>
          <w:color w:val="auto"/>
        </w:rPr>
        <w:t>必须</w:t>
      </w:r>
      <w:r>
        <w:rPr>
          <w:rFonts w:hint="eastAsia"/>
          <w:color w:val="auto"/>
        </w:rPr>
        <w:t>提供EMC电磁兼容性测试证书、高低温环境测试报告，以及在长输管线上的使用业绩和与本项目有同等级（或更高的）力矩要求的使用业绩。</w:t>
      </w:r>
    </w:p>
    <w:p w14:paraId="576F426E">
      <w:pPr>
        <w:pStyle w:val="95"/>
        <w:numPr>
          <w:ilvl w:val="2"/>
          <w:numId w:val="4"/>
        </w:numPr>
      </w:pPr>
      <w:r>
        <w:rPr>
          <w:rFonts w:hint="eastAsia"/>
        </w:rPr>
        <w:t>执行机构技术要求</w:t>
      </w:r>
    </w:p>
    <w:p w14:paraId="712AAFBA">
      <w:pPr>
        <w:pStyle w:val="96"/>
        <w:numPr>
          <w:ilvl w:val="0"/>
          <w:numId w:val="14"/>
        </w:numPr>
        <w:tabs>
          <w:tab w:val="clear" w:pos="855"/>
        </w:tabs>
        <w:ind w:firstLine="560"/>
        <w:rPr>
          <w:color w:val="auto"/>
        </w:rPr>
      </w:pPr>
      <w:r>
        <w:rPr>
          <w:rFonts w:hint="eastAsia"/>
          <w:color w:val="auto"/>
        </w:rPr>
        <w:t>执行机构</w:t>
      </w:r>
      <w:r>
        <w:rPr>
          <w:rFonts w:hint="eastAsia"/>
          <w:b/>
          <w:color w:val="auto"/>
        </w:rPr>
        <w:t>应</w:t>
      </w:r>
      <w:r>
        <w:rPr>
          <w:rFonts w:hint="eastAsia"/>
          <w:color w:val="auto"/>
        </w:rPr>
        <w:t>设计紧凑，少占空间，执行机构整体组装</w:t>
      </w:r>
      <w:r>
        <w:rPr>
          <w:rFonts w:hint="eastAsia"/>
          <w:b/>
          <w:color w:val="auto"/>
        </w:rPr>
        <w:t>必须</w:t>
      </w:r>
      <w:r>
        <w:rPr>
          <w:rFonts w:hint="eastAsia"/>
          <w:color w:val="auto"/>
        </w:rPr>
        <w:t>是密闭的、独立的，且适合于户外操作。</w:t>
      </w:r>
    </w:p>
    <w:p w14:paraId="7FBC8CF2">
      <w:pPr>
        <w:pStyle w:val="96"/>
        <w:numPr>
          <w:ilvl w:val="0"/>
          <w:numId w:val="5"/>
        </w:numPr>
        <w:tabs>
          <w:tab w:val="clear" w:pos="855"/>
        </w:tabs>
        <w:ind w:firstLine="560"/>
        <w:rPr>
          <w:color w:val="auto"/>
        </w:rPr>
      </w:pPr>
      <w:r>
        <w:rPr>
          <w:rFonts w:hint="eastAsia"/>
          <w:color w:val="auto"/>
        </w:rPr>
        <w:t>设计时</w:t>
      </w:r>
      <w:r>
        <w:rPr>
          <w:rFonts w:hint="eastAsia"/>
          <w:b/>
          <w:color w:val="auto"/>
        </w:rPr>
        <w:t>应</w:t>
      </w:r>
      <w:r>
        <w:rPr>
          <w:rFonts w:hint="eastAsia"/>
          <w:color w:val="auto"/>
        </w:rPr>
        <w:t>消除连接法兰上的非平衡重力荷载，不允许执行机构采用外加支撑，以避免由于管道振动而引起的破坏应力。</w:t>
      </w:r>
    </w:p>
    <w:p w14:paraId="57F70B22">
      <w:pPr>
        <w:pStyle w:val="96"/>
        <w:numPr>
          <w:ilvl w:val="0"/>
          <w:numId w:val="5"/>
        </w:numPr>
        <w:tabs>
          <w:tab w:val="clear" w:pos="855"/>
        </w:tabs>
        <w:ind w:firstLine="560"/>
        <w:rPr>
          <w:color w:val="auto"/>
        </w:rPr>
      </w:pPr>
      <w:r>
        <w:rPr>
          <w:rFonts w:hint="eastAsia"/>
          <w:color w:val="auto"/>
        </w:rPr>
        <w:t>执行机构</w:t>
      </w:r>
      <w:r>
        <w:rPr>
          <w:rFonts w:hint="eastAsia"/>
          <w:b/>
          <w:color w:val="auto"/>
        </w:rPr>
        <w:t>应</w:t>
      </w:r>
      <w:r>
        <w:rPr>
          <w:rFonts w:hint="eastAsia"/>
          <w:color w:val="auto"/>
        </w:rPr>
        <w:t>对阀杆施加平衡扭矩，并消除对阀杆的侧向荷载。</w:t>
      </w:r>
    </w:p>
    <w:p w14:paraId="7D5570DC">
      <w:pPr>
        <w:pStyle w:val="96"/>
        <w:numPr>
          <w:ilvl w:val="0"/>
          <w:numId w:val="5"/>
        </w:numPr>
        <w:tabs>
          <w:tab w:val="clear" w:pos="855"/>
        </w:tabs>
        <w:ind w:firstLine="560"/>
        <w:rPr>
          <w:color w:val="auto"/>
        </w:rPr>
      </w:pPr>
      <w:r>
        <w:rPr>
          <w:rFonts w:hint="eastAsia"/>
          <w:color w:val="auto"/>
        </w:rPr>
        <w:t>如果轭套两端有轴承，可以使用挡车轭，并</w:t>
      </w:r>
      <w:r>
        <w:rPr>
          <w:rFonts w:hint="eastAsia"/>
          <w:b/>
          <w:color w:val="auto"/>
        </w:rPr>
        <w:t>不应</w:t>
      </w:r>
      <w:r>
        <w:rPr>
          <w:rFonts w:hint="eastAsia"/>
          <w:color w:val="auto"/>
        </w:rPr>
        <w:t>对阀杆施加侧向力。</w:t>
      </w:r>
    </w:p>
    <w:p w14:paraId="14AC4CA4">
      <w:pPr>
        <w:pStyle w:val="96"/>
        <w:numPr>
          <w:ilvl w:val="0"/>
          <w:numId w:val="5"/>
        </w:numPr>
        <w:tabs>
          <w:tab w:val="clear" w:pos="855"/>
        </w:tabs>
        <w:ind w:firstLine="560"/>
        <w:rPr>
          <w:color w:val="auto"/>
        </w:rPr>
      </w:pPr>
      <w:r>
        <w:rPr>
          <w:rFonts w:hint="eastAsia"/>
          <w:color w:val="auto"/>
        </w:rPr>
        <w:t>执行机构</w:t>
      </w:r>
      <w:r>
        <w:rPr>
          <w:rFonts w:hint="eastAsia"/>
          <w:b/>
          <w:color w:val="auto"/>
        </w:rPr>
        <w:t>必须</w:t>
      </w:r>
      <w:r>
        <w:rPr>
          <w:rFonts w:hint="eastAsia"/>
          <w:color w:val="auto"/>
        </w:rPr>
        <w:t>装配手轮以便手动操作阀门。在电机运转操作期间手轮不应转动，在手轮操作时电机</w:t>
      </w:r>
      <w:r>
        <w:rPr>
          <w:rFonts w:hint="eastAsia"/>
          <w:b/>
          <w:color w:val="auto"/>
        </w:rPr>
        <w:t>应</w:t>
      </w:r>
      <w:r>
        <w:rPr>
          <w:rFonts w:hint="eastAsia"/>
          <w:color w:val="auto"/>
        </w:rPr>
        <w:t>自动脱离。两种设施</w:t>
      </w:r>
      <w:r>
        <w:rPr>
          <w:rFonts w:hint="eastAsia"/>
          <w:b/>
          <w:color w:val="auto"/>
        </w:rPr>
        <w:t>应</w:t>
      </w:r>
      <w:r>
        <w:rPr>
          <w:rFonts w:hint="eastAsia"/>
          <w:color w:val="auto"/>
        </w:rPr>
        <w:t>机械式相互独立。电机减速齿轮失效不应导致手轮不起作用。相对于阀门尺寸，执行机构的手轮传动机构</w:t>
      </w:r>
      <w:r>
        <w:rPr>
          <w:rFonts w:hint="eastAsia"/>
          <w:b/>
          <w:color w:val="auto"/>
        </w:rPr>
        <w:t>应</w:t>
      </w:r>
      <w:r>
        <w:rPr>
          <w:rFonts w:hint="eastAsia"/>
          <w:color w:val="auto"/>
        </w:rPr>
        <w:t>使手动操作在合理的时间内。顺时针旋转手轮</w:t>
      </w:r>
      <w:r>
        <w:rPr>
          <w:rFonts w:hint="eastAsia"/>
          <w:b/>
          <w:color w:val="auto"/>
        </w:rPr>
        <w:t>应</w:t>
      </w:r>
      <w:r>
        <w:rPr>
          <w:rFonts w:hint="eastAsia"/>
          <w:color w:val="auto"/>
        </w:rPr>
        <w:t>关闭阀门。</w:t>
      </w:r>
    </w:p>
    <w:p w14:paraId="5ED378F7">
      <w:pPr>
        <w:pStyle w:val="96"/>
        <w:numPr>
          <w:ilvl w:val="0"/>
          <w:numId w:val="5"/>
        </w:numPr>
        <w:tabs>
          <w:tab w:val="clear" w:pos="855"/>
        </w:tabs>
        <w:ind w:firstLine="560"/>
        <w:rPr>
          <w:color w:val="auto"/>
        </w:rPr>
      </w:pPr>
      <w:r>
        <w:rPr>
          <w:rFonts w:hint="eastAsia"/>
          <w:color w:val="auto"/>
        </w:rPr>
        <w:t>执行机构</w:t>
      </w:r>
      <w:r>
        <w:rPr>
          <w:rFonts w:hint="eastAsia"/>
          <w:b/>
          <w:color w:val="auto"/>
        </w:rPr>
        <w:t>必须</w:t>
      </w:r>
      <w:r>
        <w:rPr>
          <w:rFonts w:hint="eastAsia"/>
          <w:color w:val="auto"/>
        </w:rPr>
        <w:t>在开、关两个方向装配扭矩限制开关，并可单独外部调节。执行机构</w:t>
      </w:r>
      <w:r>
        <w:rPr>
          <w:rFonts w:hint="eastAsia"/>
          <w:b/>
          <w:color w:val="auto"/>
        </w:rPr>
        <w:t>应</w:t>
      </w:r>
      <w:r>
        <w:rPr>
          <w:rFonts w:hint="eastAsia"/>
          <w:color w:val="auto"/>
        </w:rPr>
        <w:t>允许阀门有适当的双向过度行程量。扭矩在平衡前</w:t>
      </w:r>
      <w:r>
        <w:rPr>
          <w:rFonts w:hint="eastAsia"/>
          <w:b/>
          <w:color w:val="auto"/>
        </w:rPr>
        <w:t>应</w:t>
      </w:r>
      <w:r>
        <w:rPr>
          <w:rFonts w:hint="eastAsia"/>
          <w:color w:val="auto"/>
        </w:rPr>
        <w:t>优先在执行机构内被吸收，而</w:t>
      </w:r>
      <w:r>
        <w:rPr>
          <w:rFonts w:hint="eastAsia"/>
          <w:b/>
          <w:color w:val="auto"/>
        </w:rPr>
        <w:t>不应</w:t>
      </w:r>
      <w:r>
        <w:rPr>
          <w:rFonts w:hint="eastAsia"/>
          <w:color w:val="auto"/>
        </w:rPr>
        <w:t>由阀杆和阀门来吸收。</w:t>
      </w:r>
    </w:p>
    <w:p w14:paraId="2872318E">
      <w:pPr>
        <w:pStyle w:val="96"/>
        <w:numPr>
          <w:ilvl w:val="0"/>
          <w:numId w:val="5"/>
        </w:numPr>
        <w:tabs>
          <w:tab w:val="clear" w:pos="855"/>
        </w:tabs>
        <w:ind w:firstLine="560"/>
        <w:rPr>
          <w:color w:val="auto"/>
        </w:rPr>
      </w:pPr>
      <w:r>
        <w:rPr>
          <w:rFonts w:hint="eastAsia"/>
          <w:color w:val="auto"/>
        </w:rPr>
        <w:t>执行机构</w:t>
      </w:r>
      <w:r>
        <w:rPr>
          <w:rFonts w:hint="eastAsia"/>
          <w:b/>
          <w:color w:val="auto"/>
        </w:rPr>
        <w:t>应</w:t>
      </w:r>
      <w:r>
        <w:rPr>
          <w:rFonts w:hint="eastAsia"/>
          <w:color w:val="auto"/>
        </w:rPr>
        <w:t>有装在外部的“开”—“关”按钮，并</w:t>
      </w:r>
      <w:r>
        <w:rPr>
          <w:rFonts w:hint="eastAsia"/>
          <w:b/>
          <w:color w:val="auto"/>
        </w:rPr>
        <w:t>应</w:t>
      </w:r>
      <w:r>
        <w:rPr>
          <w:rFonts w:hint="eastAsia"/>
          <w:color w:val="auto"/>
        </w:rPr>
        <w:t>是瞬间接触型。在执行机构上</w:t>
      </w:r>
      <w:r>
        <w:rPr>
          <w:rFonts w:hint="eastAsia"/>
          <w:b/>
          <w:color w:val="auto"/>
        </w:rPr>
        <w:t>必须</w:t>
      </w:r>
      <w:r>
        <w:rPr>
          <w:rFonts w:hint="eastAsia"/>
          <w:color w:val="auto"/>
        </w:rPr>
        <w:t>装有“就地”—“关闭”—“远程”开关，具有非侵入式遥控功能，并配备遥控器。</w:t>
      </w:r>
    </w:p>
    <w:p w14:paraId="33BE5955">
      <w:pPr>
        <w:pStyle w:val="96"/>
        <w:numPr>
          <w:ilvl w:val="0"/>
          <w:numId w:val="5"/>
        </w:numPr>
        <w:tabs>
          <w:tab w:val="clear" w:pos="855"/>
        </w:tabs>
        <w:ind w:firstLine="560"/>
        <w:rPr>
          <w:color w:val="auto"/>
        </w:rPr>
      </w:pPr>
      <w:r>
        <w:rPr>
          <w:rFonts w:hint="eastAsia"/>
          <w:color w:val="auto"/>
        </w:rPr>
        <w:t>当打开执行机构的外壳进行检查时，由于轴杆的推力和扭矩平衡弹簧的意外释放，不应导致人员伤害。</w:t>
      </w:r>
    </w:p>
    <w:p w14:paraId="4EDB520C">
      <w:pPr>
        <w:pStyle w:val="96"/>
        <w:numPr>
          <w:ilvl w:val="0"/>
          <w:numId w:val="5"/>
        </w:numPr>
        <w:tabs>
          <w:tab w:val="clear" w:pos="855"/>
        </w:tabs>
        <w:ind w:firstLine="560"/>
        <w:rPr>
          <w:color w:val="auto"/>
        </w:rPr>
      </w:pPr>
      <w:r>
        <w:rPr>
          <w:rFonts w:hint="eastAsia"/>
          <w:color w:val="auto"/>
        </w:rPr>
        <w:t>供方</w:t>
      </w:r>
      <w:r>
        <w:rPr>
          <w:rFonts w:hint="eastAsia"/>
          <w:b/>
          <w:color w:val="auto"/>
        </w:rPr>
        <w:t>应</w:t>
      </w:r>
      <w:r>
        <w:rPr>
          <w:rFonts w:hint="eastAsia"/>
          <w:color w:val="auto"/>
        </w:rPr>
        <w:t>在其投标书中提供无限次启动时电机连续工作的能力。</w:t>
      </w:r>
    </w:p>
    <w:p w14:paraId="2CB4F5F6">
      <w:pPr>
        <w:pStyle w:val="96"/>
        <w:numPr>
          <w:ilvl w:val="0"/>
          <w:numId w:val="5"/>
        </w:numPr>
        <w:tabs>
          <w:tab w:val="clear" w:pos="855"/>
        </w:tabs>
        <w:ind w:firstLine="560"/>
        <w:rPr>
          <w:color w:val="auto"/>
        </w:rPr>
      </w:pPr>
      <w:r>
        <w:rPr>
          <w:rFonts w:hint="eastAsia"/>
          <w:color w:val="auto"/>
        </w:rPr>
        <w:t>执行机构</w:t>
      </w:r>
      <w:r>
        <w:rPr>
          <w:rFonts w:hint="eastAsia"/>
          <w:b/>
          <w:color w:val="auto"/>
        </w:rPr>
        <w:t>应</w:t>
      </w:r>
      <w:r>
        <w:rPr>
          <w:rFonts w:hint="eastAsia"/>
          <w:color w:val="auto"/>
        </w:rPr>
        <w:t>采用挂锁方式锁定开或关。</w:t>
      </w:r>
    </w:p>
    <w:p w14:paraId="3DEDB551">
      <w:pPr>
        <w:pStyle w:val="95"/>
        <w:numPr>
          <w:ilvl w:val="2"/>
          <w:numId w:val="4"/>
        </w:numPr>
      </w:pPr>
      <w:r>
        <w:rPr>
          <w:rFonts w:hint="eastAsia"/>
        </w:rPr>
        <w:t>电气特性</w:t>
      </w:r>
    </w:p>
    <w:p w14:paraId="0A89A594">
      <w:pPr>
        <w:pStyle w:val="96"/>
        <w:numPr>
          <w:ilvl w:val="0"/>
          <w:numId w:val="15"/>
        </w:numPr>
        <w:tabs>
          <w:tab w:val="clear" w:pos="855"/>
        </w:tabs>
        <w:ind w:firstLine="560"/>
        <w:rPr>
          <w:color w:val="auto"/>
        </w:rPr>
      </w:pPr>
      <w:r>
        <w:rPr>
          <w:rFonts w:hint="eastAsia"/>
          <w:color w:val="auto"/>
        </w:rPr>
        <w:t>电机</w:t>
      </w:r>
      <w:r>
        <w:rPr>
          <w:rFonts w:hint="eastAsia"/>
          <w:b/>
          <w:color w:val="auto"/>
        </w:rPr>
        <w:t>应</w:t>
      </w:r>
      <w:r>
        <w:rPr>
          <w:rFonts w:hint="eastAsia"/>
          <w:color w:val="auto"/>
        </w:rPr>
        <w:t>是鼠笼式感应电机，在380V、50HZ、3相交流电源下能够连续运行。电源电压波动为±10%，频率为±2%，且短期电压下降达20%仍能正常运行。</w:t>
      </w:r>
    </w:p>
    <w:p w14:paraId="1D5EBDD2">
      <w:pPr>
        <w:pStyle w:val="96"/>
        <w:numPr>
          <w:ilvl w:val="0"/>
          <w:numId w:val="5"/>
        </w:numPr>
        <w:tabs>
          <w:tab w:val="clear" w:pos="855"/>
        </w:tabs>
        <w:ind w:firstLine="560"/>
        <w:rPr>
          <w:color w:val="auto"/>
        </w:rPr>
      </w:pPr>
      <w:r>
        <w:rPr>
          <w:rFonts w:hint="eastAsia"/>
          <w:color w:val="auto"/>
        </w:rPr>
        <w:t>电机</w:t>
      </w:r>
      <w:r>
        <w:rPr>
          <w:rFonts w:hint="eastAsia"/>
          <w:b/>
          <w:color w:val="auto"/>
        </w:rPr>
        <w:t>应</w:t>
      </w:r>
      <w:r>
        <w:rPr>
          <w:rFonts w:hint="eastAsia"/>
          <w:color w:val="auto"/>
        </w:rPr>
        <w:t>能在线直接启动，并且在额定电压下电机能够正常驱动阀门并且电机任何部分的温升都不能超过允许的范围。</w:t>
      </w:r>
    </w:p>
    <w:p w14:paraId="43F89BCB">
      <w:pPr>
        <w:pStyle w:val="96"/>
        <w:numPr>
          <w:ilvl w:val="0"/>
          <w:numId w:val="5"/>
        </w:numPr>
        <w:tabs>
          <w:tab w:val="clear" w:pos="855"/>
        </w:tabs>
        <w:ind w:firstLine="560"/>
        <w:rPr>
          <w:color w:val="auto"/>
        </w:rPr>
      </w:pPr>
      <w:r>
        <w:rPr>
          <w:rFonts w:hint="eastAsia"/>
          <w:color w:val="auto"/>
        </w:rPr>
        <w:t>在环境温度范围内，执行机构</w:t>
      </w:r>
      <w:r>
        <w:rPr>
          <w:rFonts w:hint="eastAsia"/>
          <w:b/>
          <w:color w:val="auto"/>
        </w:rPr>
        <w:t>应</w:t>
      </w:r>
      <w:r>
        <w:rPr>
          <w:rFonts w:hint="eastAsia"/>
          <w:color w:val="auto"/>
        </w:rPr>
        <w:t>能正常运行。</w:t>
      </w:r>
    </w:p>
    <w:p w14:paraId="5E376DB8">
      <w:pPr>
        <w:pStyle w:val="96"/>
        <w:numPr>
          <w:ilvl w:val="0"/>
          <w:numId w:val="5"/>
        </w:numPr>
        <w:tabs>
          <w:tab w:val="clear" w:pos="855"/>
        </w:tabs>
        <w:ind w:firstLine="560"/>
        <w:rPr>
          <w:color w:val="auto"/>
        </w:rPr>
      </w:pPr>
      <w:r>
        <w:rPr>
          <w:rFonts w:hint="eastAsia"/>
          <w:color w:val="auto"/>
        </w:rPr>
        <w:t>电机</w:t>
      </w:r>
      <w:r>
        <w:rPr>
          <w:rFonts w:hint="eastAsia"/>
          <w:b/>
          <w:color w:val="auto"/>
        </w:rPr>
        <w:t>应</w:t>
      </w:r>
      <w:r>
        <w:rPr>
          <w:rFonts w:hint="eastAsia"/>
          <w:color w:val="auto"/>
        </w:rPr>
        <w:t>是整体封闭的，自然冷却，具有“F”级绝缘。</w:t>
      </w:r>
    </w:p>
    <w:p w14:paraId="5F0F0D12">
      <w:pPr>
        <w:pStyle w:val="96"/>
        <w:numPr>
          <w:ilvl w:val="0"/>
          <w:numId w:val="5"/>
        </w:numPr>
        <w:tabs>
          <w:tab w:val="clear" w:pos="855"/>
        </w:tabs>
        <w:ind w:firstLine="560"/>
        <w:rPr>
          <w:color w:val="auto"/>
        </w:rPr>
      </w:pPr>
      <w:r>
        <w:rPr>
          <w:rFonts w:hint="eastAsia"/>
          <w:color w:val="auto"/>
        </w:rPr>
        <w:t>电动执行机构为调节型，调节型电装制式为S4-50%。</w:t>
      </w:r>
    </w:p>
    <w:p w14:paraId="15CA15BD">
      <w:pPr>
        <w:pStyle w:val="96"/>
        <w:numPr>
          <w:ilvl w:val="0"/>
          <w:numId w:val="5"/>
        </w:numPr>
        <w:tabs>
          <w:tab w:val="clear" w:pos="855"/>
        </w:tabs>
        <w:ind w:firstLine="560"/>
        <w:rPr>
          <w:color w:val="auto"/>
        </w:rPr>
      </w:pPr>
      <w:r>
        <w:rPr>
          <w:rFonts w:hint="eastAsia"/>
          <w:color w:val="auto"/>
        </w:rPr>
        <w:t>温度调节装置安装在定子线圈或变压线圈上以保护电机。</w:t>
      </w:r>
    </w:p>
    <w:p w14:paraId="5E75E5BC">
      <w:pPr>
        <w:pStyle w:val="96"/>
        <w:numPr>
          <w:ilvl w:val="0"/>
          <w:numId w:val="5"/>
        </w:numPr>
        <w:tabs>
          <w:tab w:val="clear" w:pos="855"/>
        </w:tabs>
        <w:ind w:firstLine="560"/>
        <w:rPr>
          <w:color w:val="auto"/>
        </w:rPr>
      </w:pPr>
      <w:r>
        <w:rPr>
          <w:rFonts w:hint="eastAsia"/>
          <w:color w:val="auto"/>
        </w:rPr>
        <w:t>执行机构</w:t>
      </w:r>
      <w:r>
        <w:rPr>
          <w:rFonts w:hint="eastAsia"/>
          <w:b/>
          <w:color w:val="auto"/>
        </w:rPr>
        <w:t>必须</w:t>
      </w:r>
      <w:r>
        <w:rPr>
          <w:rFonts w:hint="eastAsia"/>
          <w:color w:val="auto"/>
        </w:rPr>
        <w:t>有控制阀门行程的扭矩开关和限位开关。限位开关</w:t>
      </w:r>
      <w:r>
        <w:rPr>
          <w:rFonts w:hint="eastAsia"/>
          <w:b/>
          <w:color w:val="auto"/>
        </w:rPr>
        <w:t>应</w:t>
      </w:r>
      <w:r>
        <w:rPr>
          <w:rFonts w:hint="eastAsia"/>
          <w:color w:val="auto"/>
        </w:rPr>
        <w:t>该是单刀双掷类型的（SPDT）。开关在自动模式和手动模式下都可操作。每个开关</w:t>
      </w:r>
      <w:r>
        <w:rPr>
          <w:rFonts w:hint="eastAsia"/>
          <w:b/>
          <w:color w:val="auto"/>
        </w:rPr>
        <w:t>应</w:t>
      </w:r>
      <w:r>
        <w:rPr>
          <w:rFonts w:hint="eastAsia"/>
          <w:color w:val="auto"/>
        </w:rPr>
        <w:t>是独立的且通过阀门的全行程易于现场设置。设定开关</w:t>
      </w:r>
      <w:r>
        <w:rPr>
          <w:rFonts w:hint="eastAsia"/>
          <w:b/>
          <w:color w:val="auto"/>
        </w:rPr>
        <w:t>应</w:t>
      </w:r>
      <w:r>
        <w:rPr>
          <w:rFonts w:hint="eastAsia"/>
          <w:color w:val="auto"/>
        </w:rPr>
        <w:t>有锁定装置以防止常规运行时设定值漂移。</w:t>
      </w:r>
    </w:p>
    <w:p w14:paraId="15C00304">
      <w:pPr>
        <w:pStyle w:val="96"/>
        <w:numPr>
          <w:ilvl w:val="0"/>
          <w:numId w:val="5"/>
        </w:numPr>
        <w:tabs>
          <w:tab w:val="clear" w:pos="855"/>
        </w:tabs>
        <w:ind w:firstLine="560"/>
        <w:rPr>
          <w:color w:val="auto"/>
        </w:rPr>
      </w:pPr>
      <w:r>
        <w:rPr>
          <w:rFonts w:hint="eastAsia"/>
          <w:color w:val="auto"/>
        </w:rPr>
        <w:t>在开始没有拧紧的情况下，超矩保护系统禁止使用。同时需要提供下面的保护系统：</w:t>
      </w:r>
    </w:p>
    <w:p w14:paraId="74CD407B">
      <w:pPr>
        <w:pStyle w:val="90"/>
        <w:rPr>
          <w:color w:val="auto"/>
        </w:rPr>
      </w:pPr>
      <w:r>
        <w:rPr>
          <w:rFonts w:hint="eastAsia"/>
          <w:color w:val="auto"/>
        </w:rPr>
        <w:t>- 缺相保护；</w:t>
      </w:r>
    </w:p>
    <w:p w14:paraId="47F136B8">
      <w:pPr>
        <w:pStyle w:val="90"/>
        <w:rPr>
          <w:color w:val="auto"/>
        </w:rPr>
      </w:pPr>
      <w:r>
        <w:rPr>
          <w:rFonts w:hint="eastAsia"/>
          <w:color w:val="auto"/>
        </w:rPr>
        <w:t>- 三相相序自动校正。</w:t>
      </w:r>
    </w:p>
    <w:p w14:paraId="495ED2CC">
      <w:pPr>
        <w:pStyle w:val="96"/>
        <w:numPr>
          <w:ilvl w:val="0"/>
          <w:numId w:val="5"/>
        </w:numPr>
        <w:tabs>
          <w:tab w:val="clear" w:pos="855"/>
        </w:tabs>
        <w:ind w:firstLine="560"/>
        <w:rPr>
          <w:color w:val="auto"/>
        </w:rPr>
      </w:pPr>
      <w:r>
        <w:rPr>
          <w:rFonts w:hint="eastAsia"/>
          <w:color w:val="auto"/>
        </w:rPr>
        <w:t>端子板</w:t>
      </w:r>
      <w:r>
        <w:rPr>
          <w:rFonts w:hint="eastAsia"/>
          <w:b/>
          <w:color w:val="auto"/>
        </w:rPr>
        <w:t>应</w:t>
      </w:r>
      <w:r>
        <w:rPr>
          <w:rFonts w:hint="eastAsia"/>
          <w:color w:val="auto"/>
        </w:rPr>
        <w:t>置于一个单独密封的接线箱里，以免现场连接回路裸露。端口</w:t>
      </w:r>
      <w:r>
        <w:rPr>
          <w:rFonts w:hint="eastAsia"/>
          <w:b/>
          <w:color w:val="auto"/>
        </w:rPr>
        <w:t>应</w:t>
      </w:r>
      <w:r>
        <w:rPr>
          <w:rFonts w:hint="eastAsia"/>
          <w:color w:val="auto"/>
        </w:rPr>
        <w:t>有标号，接线</w:t>
      </w:r>
      <w:r>
        <w:rPr>
          <w:rFonts w:hint="eastAsia"/>
          <w:b/>
          <w:color w:val="auto"/>
        </w:rPr>
        <w:t>应</w:t>
      </w:r>
      <w:r>
        <w:rPr>
          <w:rFonts w:hint="eastAsia"/>
          <w:color w:val="auto"/>
        </w:rPr>
        <w:t>能清晰地识别。接线箱</w:t>
      </w:r>
      <w:r>
        <w:rPr>
          <w:rFonts w:hint="eastAsia"/>
          <w:b/>
          <w:color w:val="auto"/>
        </w:rPr>
        <w:t>应</w:t>
      </w:r>
      <w:r>
        <w:rPr>
          <w:rFonts w:hint="eastAsia"/>
          <w:color w:val="auto"/>
        </w:rPr>
        <w:t>设有电缆连接的入口，未用的接线要用金属插头封闭。在没有断开外部接线的情况下，控制回路</w:t>
      </w:r>
      <w:r>
        <w:rPr>
          <w:rFonts w:hint="eastAsia"/>
          <w:b/>
          <w:color w:val="auto"/>
        </w:rPr>
        <w:t>应</w:t>
      </w:r>
      <w:r>
        <w:rPr>
          <w:rFonts w:hint="eastAsia"/>
          <w:color w:val="auto"/>
        </w:rPr>
        <w:t>易于检测。接线箱内外都</w:t>
      </w:r>
      <w:r>
        <w:rPr>
          <w:rFonts w:hint="eastAsia"/>
          <w:b/>
          <w:color w:val="auto"/>
        </w:rPr>
        <w:t>应</w:t>
      </w:r>
      <w:r>
        <w:rPr>
          <w:rFonts w:hint="eastAsia"/>
          <w:color w:val="auto"/>
        </w:rPr>
        <w:t>有接地端子。</w:t>
      </w:r>
    </w:p>
    <w:p w14:paraId="70C6AFEE">
      <w:pPr>
        <w:pStyle w:val="96"/>
        <w:numPr>
          <w:ilvl w:val="0"/>
          <w:numId w:val="5"/>
        </w:numPr>
        <w:tabs>
          <w:tab w:val="clear" w:pos="855"/>
        </w:tabs>
        <w:ind w:firstLine="560"/>
        <w:rPr>
          <w:color w:val="auto"/>
        </w:rPr>
      </w:pPr>
      <w:r>
        <w:rPr>
          <w:rFonts w:hint="eastAsia"/>
          <w:color w:val="auto"/>
        </w:rPr>
        <w:t>执行机构接地形式</w:t>
      </w:r>
      <w:r>
        <w:rPr>
          <w:rFonts w:hint="eastAsia"/>
          <w:b/>
          <w:color w:val="auto"/>
        </w:rPr>
        <w:t>应</w:t>
      </w:r>
      <w:r>
        <w:rPr>
          <w:rFonts w:hint="eastAsia"/>
          <w:color w:val="auto"/>
        </w:rPr>
        <w:t>为TN-S，电缆采用铠装电缆。</w:t>
      </w:r>
    </w:p>
    <w:p w14:paraId="215AEDDE">
      <w:pPr>
        <w:pStyle w:val="96"/>
        <w:numPr>
          <w:ilvl w:val="0"/>
          <w:numId w:val="5"/>
        </w:numPr>
        <w:tabs>
          <w:tab w:val="clear" w:pos="855"/>
        </w:tabs>
        <w:ind w:firstLine="560"/>
        <w:rPr>
          <w:color w:val="auto"/>
        </w:rPr>
      </w:pPr>
      <w:r>
        <w:rPr>
          <w:rFonts w:hint="eastAsia"/>
          <w:color w:val="auto"/>
        </w:rPr>
        <w:t>电机内</w:t>
      </w:r>
      <w:r>
        <w:rPr>
          <w:rFonts w:hint="eastAsia"/>
          <w:b/>
          <w:color w:val="auto"/>
        </w:rPr>
        <w:t>应</w:t>
      </w:r>
      <w:r>
        <w:rPr>
          <w:rFonts w:hint="eastAsia"/>
          <w:color w:val="auto"/>
        </w:rPr>
        <w:t>配有加热器以防止冷凝物生成。所有电气主线和控制回路</w:t>
      </w:r>
      <w:r>
        <w:rPr>
          <w:rFonts w:hint="eastAsia"/>
          <w:b/>
          <w:color w:val="auto"/>
        </w:rPr>
        <w:t>应</w:t>
      </w:r>
      <w:r>
        <w:rPr>
          <w:rFonts w:hint="eastAsia"/>
          <w:color w:val="auto"/>
        </w:rPr>
        <w:t>有超压保护，以防止电压超高而引起的电路破坏。</w:t>
      </w:r>
    </w:p>
    <w:p w14:paraId="748D5001">
      <w:pPr>
        <w:pStyle w:val="96"/>
        <w:numPr>
          <w:ilvl w:val="0"/>
          <w:numId w:val="5"/>
        </w:numPr>
        <w:tabs>
          <w:tab w:val="clear" w:pos="855"/>
        </w:tabs>
        <w:ind w:firstLine="560"/>
        <w:rPr>
          <w:color w:val="auto"/>
        </w:rPr>
      </w:pPr>
      <w:r>
        <w:rPr>
          <w:rFonts w:hint="eastAsia"/>
          <w:color w:val="auto"/>
        </w:rPr>
        <w:t>电气接口采用公制标准。</w:t>
      </w:r>
    </w:p>
    <w:p w14:paraId="004B8188">
      <w:pPr>
        <w:pStyle w:val="95"/>
        <w:numPr>
          <w:ilvl w:val="2"/>
          <w:numId w:val="4"/>
        </w:numPr>
      </w:pPr>
      <w:r>
        <w:rPr>
          <w:rFonts w:hint="eastAsia"/>
        </w:rPr>
        <w:t>控制系统</w:t>
      </w:r>
    </w:p>
    <w:p w14:paraId="0B78CF13">
      <w:pPr>
        <w:pStyle w:val="96"/>
        <w:numPr>
          <w:ilvl w:val="0"/>
          <w:numId w:val="16"/>
        </w:numPr>
        <w:tabs>
          <w:tab w:val="clear" w:pos="855"/>
        </w:tabs>
        <w:ind w:firstLine="560"/>
        <w:rPr>
          <w:color w:val="auto"/>
        </w:rPr>
      </w:pPr>
      <w:r>
        <w:rPr>
          <w:rFonts w:hint="eastAsia"/>
          <w:color w:val="auto"/>
        </w:rPr>
        <w:t>电机启动器包含有机械和电动连锁功能的远控逆转装置，且适合任何位置操作。</w:t>
      </w:r>
    </w:p>
    <w:p w14:paraId="37A3BD26">
      <w:pPr>
        <w:pStyle w:val="96"/>
        <w:numPr>
          <w:ilvl w:val="0"/>
          <w:numId w:val="5"/>
        </w:numPr>
        <w:tabs>
          <w:tab w:val="clear" w:pos="855"/>
        </w:tabs>
        <w:ind w:firstLine="560"/>
        <w:rPr>
          <w:color w:val="auto"/>
        </w:rPr>
      </w:pPr>
      <w:r>
        <w:rPr>
          <w:rFonts w:hint="eastAsia"/>
          <w:color w:val="auto"/>
        </w:rPr>
        <w:t>执行机构控制箱内的控制回路</w:t>
      </w:r>
      <w:r>
        <w:rPr>
          <w:rFonts w:hint="eastAsia"/>
          <w:b/>
          <w:color w:val="auto"/>
        </w:rPr>
        <w:t>必须</w:t>
      </w:r>
      <w:r>
        <w:rPr>
          <w:rFonts w:hint="eastAsia"/>
          <w:color w:val="auto"/>
        </w:rPr>
        <w:t>允许“开”、“关”和“停”的控制，此控制是通过可锁定的三位（就地,停,远程）选择器实现，无论选择器位于哪一个位置，“停”控制总是优先的。控制逻辑</w:t>
      </w:r>
      <w:r>
        <w:rPr>
          <w:rFonts w:hint="eastAsia"/>
          <w:b/>
          <w:color w:val="auto"/>
        </w:rPr>
        <w:t>应</w:t>
      </w:r>
      <w:r>
        <w:rPr>
          <w:rFonts w:hint="eastAsia"/>
          <w:color w:val="auto"/>
        </w:rPr>
        <w:t>允许从“开”到“关”或从“关”到“开”的改变不需要完成阀门的“开/关”全行程后再执行。</w:t>
      </w:r>
    </w:p>
    <w:p w14:paraId="04CCA54D">
      <w:pPr>
        <w:pStyle w:val="96"/>
        <w:numPr>
          <w:ilvl w:val="0"/>
          <w:numId w:val="5"/>
        </w:numPr>
        <w:tabs>
          <w:tab w:val="clear" w:pos="855"/>
        </w:tabs>
        <w:ind w:firstLine="560"/>
        <w:rPr>
          <w:color w:val="auto"/>
        </w:rPr>
      </w:pPr>
      <w:r>
        <w:rPr>
          <w:rFonts w:hint="eastAsia"/>
          <w:color w:val="auto"/>
        </w:rPr>
        <w:t>执行机构信号连接采用硬接线方式，控制信号至少包括：接受开、关、停控制命令，并能输出以下信号：</w:t>
      </w:r>
    </w:p>
    <w:p w14:paraId="26507BCA">
      <w:pPr>
        <w:pStyle w:val="90"/>
        <w:rPr>
          <w:color w:val="auto"/>
        </w:rPr>
      </w:pPr>
      <w:r>
        <w:rPr>
          <w:rFonts w:hint="eastAsia"/>
          <w:color w:val="auto"/>
        </w:rPr>
        <w:t>- 阀门全开状态（无源触点信号）；</w:t>
      </w:r>
    </w:p>
    <w:p w14:paraId="369EC848">
      <w:pPr>
        <w:pStyle w:val="90"/>
        <w:rPr>
          <w:color w:val="auto"/>
        </w:rPr>
      </w:pPr>
      <w:r>
        <w:rPr>
          <w:rFonts w:hint="eastAsia"/>
          <w:color w:val="auto"/>
        </w:rPr>
        <w:t>- 阀门全关状态（无源触点信号）；</w:t>
      </w:r>
    </w:p>
    <w:p w14:paraId="43080DE3">
      <w:pPr>
        <w:pStyle w:val="90"/>
        <w:rPr>
          <w:color w:val="auto"/>
        </w:rPr>
      </w:pPr>
      <w:r>
        <w:rPr>
          <w:rFonts w:hint="eastAsia"/>
          <w:color w:val="auto"/>
        </w:rPr>
        <w:t>- 阀门开度信号（0～100%，4～20mA模拟信号）；</w:t>
      </w:r>
    </w:p>
    <w:p w14:paraId="28072A59">
      <w:pPr>
        <w:pStyle w:val="90"/>
        <w:rPr>
          <w:color w:val="auto"/>
        </w:rPr>
      </w:pPr>
      <w:r>
        <w:rPr>
          <w:rFonts w:hint="eastAsia"/>
          <w:color w:val="auto"/>
        </w:rPr>
        <w:t>- 故障信号（无源触点信号）；</w:t>
      </w:r>
    </w:p>
    <w:p w14:paraId="14CCC14C">
      <w:pPr>
        <w:pStyle w:val="90"/>
        <w:rPr>
          <w:color w:val="auto"/>
        </w:rPr>
      </w:pPr>
      <w:r>
        <w:rPr>
          <w:rFonts w:hint="eastAsia"/>
          <w:color w:val="auto"/>
        </w:rPr>
        <w:t>- 就地/远控状态（无源触点信号）；</w:t>
      </w:r>
    </w:p>
    <w:p w14:paraId="2CC8D81C">
      <w:pPr>
        <w:pStyle w:val="96"/>
        <w:numPr>
          <w:ilvl w:val="0"/>
          <w:numId w:val="5"/>
        </w:numPr>
        <w:tabs>
          <w:tab w:val="clear" w:pos="855"/>
        </w:tabs>
        <w:ind w:firstLine="560"/>
        <w:rPr>
          <w:color w:val="auto"/>
        </w:rPr>
      </w:pPr>
      <w:r>
        <w:rPr>
          <w:rFonts w:hint="eastAsia"/>
          <w:color w:val="auto"/>
        </w:rPr>
        <w:t>调节型阀门执行机构</w:t>
      </w:r>
      <w:r>
        <w:rPr>
          <w:rFonts w:hint="eastAsia"/>
          <w:b/>
          <w:color w:val="auto"/>
        </w:rPr>
        <w:t>必须</w:t>
      </w:r>
      <w:r>
        <w:rPr>
          <w:rFonts w:hint="eastAsia"/>
          <w:color w:val="auto"/>
        </w:rPr>
        <w:t>设有10%开度硬触点（硬触点可调），接收4～20mA模拟量控制信号，以控制阀门开关至0～100%开度。</w:t>
      </w:r>
    </w:p>
    <w:p w14:paraId="6EEE0F82">
      <w:pPr>
        <w:pStyle w:val="96"/>
        <w:numPr>
          <w:ilvl w:val="0"/>
          <w:numId w:val="5"/>
        </w:numPr>
        <w:tabs>
          <w:tab w:val="clear" w:pos="855"/>
        </w:tabs>
        <w:ind w:firstLine="560"/>
        <w:rPr>
          <w:color w:val="auto"/>
        </w:rPr>
      </w:pPr>
      <w:r>
        <w:rPr>
          <w:rFonts w:hint="eastAsia"/>
          <w:color w:val="auto"/>
        </w:rPr>
        <w:t>执行机构</w:t>
      </w:r>
      <w:r>
        <w:rPr>
          <w:rFonts w:hint="eastAsia"/>
          <w:b/>
          <w:color w:val="auto"/>
        </w:rPr>
        <w:t>应</w:t>
      </w:r>
      <w:r>
        <w:rPr>
          <w:rFonts w:hint="eastAsia"/>
          <w:color w:val="auto"/>
        </w:rPr>
        <w:t>装有显示阀门连续开度的就地液晶显示器，并具有远传该信息的能力。</w:t>
      </w:r>
    </w:p>
    <w:p w14:paraId="785F4956">
      <w:pPr>
        <w:pStyle w:val="92"/>
        <w:numPr>
          <w:ilvl w:val="1"/>
          <w:numId w:val="4"/>
        </w:numPr>
      </w:pPr>
      <w:r>
        <w:rPr>
          <w:rFonts w:hint="eastAsia"/>
        </w:rPr>
        <w:t>执行机构铭牌</w:t>
      </w:r>
    </w:p>
    <w:p w14:paraId="2754F474">
      <w:pPr>
        <w:pStyle w:val="90"/>
        <w:rPr>
          <w:color w:val="auto"/>
        </w:rPr>
      </w:pPr>
      <w:r>
        <w:rPr>
          <w:rFonts w:hint="eastAsia"/>
          <w:color w:val="auto"/>
        </w:rPr>
        <w:t>执行机构铭牌上至少要提供以下信息：</w:t>
      </w:r>
    </w:p>
    <w:p w14:paraId="5B21F6E4">
      <w:pPr>
        <w:pStyle w:val="90"/>
        <w:rPr>
          <w:color w:val="auto"/>
        </w:rPr>
      </w:pPr>
      <w:r>
        <w:rPr>
          <w:rFonts w:hint="eastAsia"/>
          <w:color w:val="auto"/>
        </w:rPr>
        <w:t>- 阀号；</w:t>
      </w:r>
    </w:p>
    <w:p w14:paraId="16E0781B">
      <w:pPr>
        <w:pStyle w:val="90"/>
        <w:rPr>
          <w:color w:val="auto"/>
        </w:rPr>
      </w:pPr>
      <w:r>
        <w:rPr>
          <w:rFonts w:hint="eastAsia"/>
          <w:color w:val="auto"/>
        </w:rPr>
        <w:t>- 执行机构系列号；</w:t>
      </w:r>
    </w:p>
    <w:p w14:paraId="03BF8F31">
      <w:pPr>
        <w:pStyle w:val="90"/>
        <w:rPr>
          <w:color w:val="auto"/>
        </w:rPr>
      </w:pPr>
      <w:r>
        <w:rPr>
          <w:rFonts w:hint="eastAsia"/>
          <w:color w:val="auto"/>
        </w:rPr>
        <w:t>- 阀门系列号或阀门型号和制造厂商名；</w:t>
      </w:r>
    </w:p>
    <w:p w14:paraId="3F8314BB">
      <w:pPr>
        <w:pStyle w:val="90"/>
        <w:rPr>
          <w:color w:val="auto"/>
        </w:rPr>
      </w:pPr>
      <w:r>
        <w:rPr>
          <w:rFonts w:hint="eastAsia"/>
          <w:color w:val="auto"/>
        </w:rPr>
        <w:t>- 电机的特性参数；</w:t>
      </w:r>
    </w:p>
    <w:p w14:paraId="7D2E3DDC">
      <w:pPr>
        <w:pStyle w:val="90"/>
        <w:rPr>
          <w:color w:val="auto"/>
        </w:rPr>
      </w:pPr>
      <w:r>
        <w:rPr>
          <w:rFonts w:hint="eastAsia"/>
          <w:color w:val="auto"/>
        </w:rPr>
        <w:t>- 执行机构的特性参数；</w:t>
      </w:r>
    </w:p>
    <w:p w14:paraId="39425D4C">
      <w:pPr>
        <w:pStyle w:val="90"/>
        <w:rPr>
          <w:color w:val="auto"/>
        </w:rPr>
      </w:pPr>
      <w:r>
        <w:rPr>
          <w:rFonts w:hint="eastAsia"/>
          <w:color w:val="auto"/>
        </w:rPr>
        <w:t>- 电气防护标准；</w:t>
      </w:r>
    </w:p>
    <w:p w14:paraId="4DB90363">
      <w:pPr>
        <w:pStyle w:val="90"/>
        <w:rPr>
          <w:color w:val="auto"/>
        </w:rPr>
      </w:pPr>
      <w:r>
        <w:rPr>
          <w:rFonts w:hint="eastAsia"/>
          <w:color w:val="auto"/>
        </w:rPr>
        <w:t>- 订货单号；</w:t>
      </w:r>
    </w:p>
    <w:p w14:paraId="2E80C94E">
      <w:pPr>
        <w:pStyle w:val="90"/>
        <w:rPr>
          <w:color w:val="auto"/>
        </w:rPr>
      </w:pPr>
      <w:r>
        <w:rPr>
          <w:rFonts w:hint="eastAsia"/>
          <w:color w:val="auto"/>
        </w:rPr>
        <w:t>- 转距开关的设定；</w:t>
      </w:r>
    </w:p>
    <w:p w14:paraId="20D38B03">
      <w:pPr>
        <w:pStyle w:val="90"/>
        <w:rPr>
          <w:color w:val="auto"/>
        </w:rPr>
      </w:pPr>
      <w:r>
        <w:rPr>
          <w:rFonts w:hint="eastAsia"/>
          <w:color w:val="auto"/>
        </w:rPr>
        <w:t>- 总传动比；</w:t>
      </w:r>
    </w:p>
    <w:p w14:paraId="1B381A16">
      <w:pPr>
        <w:pStyle w:val="90"/>
        <w:rPr>
          <w:color w:val="auto"/>
        </w:rPr>
      </w:pPr>
      <w:r>
        <w:rPr>
          <w:rFonts w:hint="eastAsia"/>
          <w:color w:val="auto"/>
        </w:rPr>
        <w:t>- 最大额定输出扭矩；</w:t>
      </w:r>
    </w:p>
    <w:p w14:paraId="7924DAF9">
      <w:pPr>
        <w:pStyle w:val="90"/>
        <w:rPr>
          <w:color w:val="auto"/>
        </w:rPr>
      </w:pPr>
      <w:r>
        <w:rPr>
          <w:rFonts w:hint="eastAsia"/>
          <w:color w:val="auto"/>
        </w:rPr>
        <w:t>铭牌</w:t>
      </w:r>
      <w:r>
        <w:rPr>
          <w:rFonts w:hint="eastAsia"/>
          <w:b/>
          <w:color w:val="auto"/>
        </w:rPr>
        <w:t>应</w:t>
      </w:r>
      <w:r>
        <w:rPr>
          <w:rFonts w:hint="eastAsia"/>
          <w:color w:val="auto"/>
        </w:rPr>
        <w:t>为316不锈钢矩形牌。铭牌尺寸按照厂家标准制作。铭牌用不锈钢螺钉固定在执行机构上，</w:t>
      </w:r>
      <w:r>
        <w:rPr>
          <w:rFonts w:hint="eastAsia"/>
          <w:b/>
          <w:color w:val="auto"/>
        </w:rPr>
        <w:t>不得</w:t>
      </w:r>
      <w:r>
        <w:rPr>
          <w:rFonts w:hint="eastAsia"/>
          <w:color w:val="auto"/>
        </w:rPr>
        <w:t>用粘贴的方法固定铭牌</w:t>
      </w:r>
    </w:p>
    <w:p w14:paraId="3AE071E8">
      <w:pPr>
        <w:pStyle w:val="92"/>
        <w:numPr>
          <w:ilvl w:val="1"/>
          <w:numId w:val="4"/>
        </w:numPr>
      </w:pPr>
      <w:r>
        <w:rPr>
          <w:rFonts w:hint="eastAsia"/>
        </w:rPr>
        <w:t>执行机构试验及其它要求</w:t>
      </w:r>
    </w:p>
    <w:p w14:paraId="563DD1F2">
      <w:pPr>
        <w:pStyle w:val="90"/>
        <w:rPr>
          <w:color w:val="auto"/>
        </w:rPr>
      </w:pPr>
      <w:r>
        <w:rPr>
          <w:rFonts w:hint="eastAsia"/>
          <w:color w:val="auto"/>
        </w:rPr>
        <w:t>购方有权对所有的测试进行监督，并</w:t>
      </w:r>
      <w:r>
        <w:rPr>
          <w:rFonts w:hint="eastAsia"/>
          <w:b/>
          <w:color w:val="auto"/>
        </w:rPr>
        <w:t>应</w:t>
      </w:r>
      <w:r>
        <w:rPr>
          <w:rFonts w:hint="eastAsia"/>
          <w:color w:val="auto"/>
        </w:rPr>
        <w:t>至少在测试前5天得到通知。该监督检查不能解除供方对所提供设备的材质、工艺和性能等所负的责任。以下的检验和测试</w:t>
      </w:r>
      <w:r>
        <w:rPr>
          <w:rFonts w:hint="eastAsia"/>
          <w:b/>
          <w:color w:val="auto"/>
        </w:rPr>
        <w:t>应</w:t>
      </w:r>
      <w:r>
        <w:rPr>
          <w:rFonts w:hint="eastAsia"/>
          <w:color w:val="auto"/>
        </w:rPr>
        <w:t>在制造商的费用内完成并取证。</w:t>
      </w:r>
    </w:p>
    <w:p w14:paraId="21FD0D4D">
      <w:pPr>
        <w:pStyle w:val="90"/>
        <w:rPr>
          <w:color w:val="auto"/>
        </w:rPr>
      </w:pPr>
      <w:r>
        <w:rPr>
          <w:rFonts w:hint="eastAsia"/>
          <w:color w:val="auto"/>
        </w:rPr>
        <w:t>执行机构制造商有责任保证所选的执行机构规格适当，在规定的工艺条件下，保证能正常操作阀门。</w:t>
      </w:r>
    </w:p>
    <w:p w14:paraId="4C3FD25D">
      <w:pPr>
        <w:pStyle w:val="90"/>
        <w:rPr>
          <w:color w:val="auto"/>
        </w:rPr>
      </w:pPr>
      <w:r>
        <w:rPr>
          <w:rFonts w:hint="eastAsia"/>
          <w:color w:val="auto"/>
        </w:rPr>
        <w:t>检验和测试的范围是检查执行机构、阀门和执行机构组装的有效性和功能，并</w:t>
      </w:r>
      <w:r>
        <w:rPr>
          <w:rFonts w:hint="eastAsia"/>
          <w:b/>
          <w:color w:val="auto"/>
        </w:rPr>
        <w:t>应</w:t>
      </w:r>
      <w:r>
        <w:rPr>
          <w:rFonts w:hint="eastAsia"/>
          <w:color w:val="auto"/>
        </w:rPr>
        <w:t>该符合本技术规格书的要求。为此，用于检测和试验的执行机构</w:t>
      </w:r>
      <w:r>
        <w:rPr>
          <w:rFonts w:hint="eastAsia"/>
          <w:b/>
          <w:color w:val="auto"/>
        </w:rPr>
        <w:t>应</w:t>
      </w:r>
      <w:r>
        <w:rPr>
          <w:rFonts w:hint="eastAsia"/>
          <w:color w:val="auto"/>
        </w:rPr>
        <w:t>组装上阀门进行，该阀门</w:t>
      </w:r>
      <w:r>
        <w:rPr>
          <w:rFonts w:hint="eastAsia"/>
          <w:b/>
          <w:color w:val="auto"/>
        </w:rPr>
        <w:t>应</w:t>
      </w:r>
      <w:r>
        <w:rPr>
          <w:rFonts w:hint="eastAsia"/>
          <w:color w:val="auto"/>
        </w:rPr>
        <w:t>是本工程中所用的同型号阀门。</w:t>
      </w:r>
    </w:p>
    <w:p w14:paraId="4352F966">
      <w:pPr>
        <w:pStyle w:val="95"/>
        <w:numPr>
          <w:ilvl w:val="2"/>
          <w:numId w:val="4"/>
        </w:numPr>
      </w:pPr>
      <w:r>
        <w:rPr>
          <w:rFonts w:hint="eastAsia"/>
        </w:rPr>
        <w:t>在执行机构制造厂进行的试验</w:t>
      </w:r>
    </w:p>
    <w:p w14:paraId="68010659">
      <w:pPr>
        <w:pStyle w:val="90"/>
        <w:rPr>
          <w:color w:val="auto"/>
          <w:kern w:val="44"/>
        </w:rPr>
      </w:pPr>
      <w:r>
        <w:rPr>
          <w:rFonts w:hint="eastAsia"/>
          <w:color w:val="auto"/>
          <w:kern w:val="44"/>
        </w:rPr>
        <w:t>下面描述了电动执行机构检测和试验的程序。</w:t>
      </w:r>
    </w:p>
    <w:p w14:paraId="0AA7B2C4">
      <w:pPr>
        <w:pStyle w:val="96"/>
        <w:numPr>
          <w:ilvl w:val="0"/>
          <w:numId w:val="17"/>
        </w:numPr>
        <w:tabs>
          <w:tab w:val="clear" w:pos="855"/>
        </w:tabs>
        <w:ind w:firstLine="560"/>
        <w:rPr>
          <w:color w:val="auto"/>
          <w:kern w:val="44"/>
        </w:rPr>
      </w:pPr>
      <w:r>
        <w:rPr>
          <w:rFonts w:hint="eastAsia"/>
          <w:color w:val="auto"/>
          <w:kern w:val="44"/>
        </w:rPr>
        <w:t>扭矩保护系统</w:t>
      </w:r>
    </w:p>
    <w:p w14:paraId="040EEB1D">
      <w:pPr>
        <w:pStyle w:val="90"/>
        <w:rPr>
          <w:color w:val="auto"/>
          <w:kern w:val="44"/>
        </w:rPr>
      </w:pPr>
      <w:r>
        <w:rPr>
          <w:rFonts w:hint="eastAsia"/>
          <w:color w:val="auto"/>
          <w:kern w:val="44"/>
        </w:rPr>
        <w:t>当扭矩保护系统调试好后，执行机构</w:t>
      </w:r>
      <w:r>
        <w:rPr>
          <w:rFonts w:hint="eastAsia"/>
          <w:b/>
          <w:color w:val="auto"/>
          <w:kern w:val="44"/>
        </w:rPr>
        <w:t>应</w:t>
      </w:r>
      <w:r>
        <w:rPr>
          <w:rFonts w:hint="eastAsia"/>
          <w:color w:val="auto"/>
          <w:kern w:val="44"/>
        </w:rPr>
        <w:t>在无载荷的情况下，双向各运行5分钟。</w:t>
      </w:r>
    </w:p>
    <w:p w14:paraId="09AE0ED1">
      <w:pPr>
        <w:pStyle w:val="96"/>
        <w:numPr>
          <w:ilvl w:val="0"/>
          <w:numId w:val="5"/>
        </w:numPr>
        <w:tabs>
          <w:tab w:val="clear" w:pos="855"/>
        </w:tabs>
        <w:ind w:firstLine="560"/>
        <w:rPr>
          <w:color w:val="auto"/>
          <w:kern w:val="44"/>
        </w:rPr>
      </w:pPr>
      <w:r>
        <w:rPr>
          <w:rFonts w:hint="eastAsia"/>
          <w:color w:val="auto"/>
          <w:kern w:val="44"/>
        </w:rPr>
        <w:t>功能检测</w:t>
      </w:r>
    </w:p>
    <w:p w14:paraId="4A6D4797">
      <w:pPr>
        <w:pStyle w:val="90"/>
        <w:rPr>
          <w:color w:val="auto"/>
          <w:kern w:val="44"/>
        </w:rPr>
      </w:pPr>
      <w:r>
        <w:rPr>
          <w:rFonts w:hint="eastAsia"/>
          <w:color w:val="auto"/>
          <w:kern w:val="44"/>
        </w:rPr>
        <w:t>① 控制回路的正确运行</w:t>
      </w:r>
    </w:p>
    <w:p w14:paraId="7FE67422">
      <w:pPr>
        <w:pStyle w:val="90"/>
        <w:rPr>
          <w:color w:val="auto"/>
          <w:kern w:val="44"/>
        </w:rPr>
      </w:pPr>
      <w:r>
        <w:rPr>
          <w:rFonts w:hint="eastAsia"/>
          <w:color w:val="auto"/>
          <w:kern w:val="44"/>
        </w:rPr>
        <w:t>控制回路的各个元件正确运行的检测：限位开关、选择器、监控中继，干预中继相位保护。</w:t>
      </w:r>
    </w:p>
    <w:p w14:paraId="10D4F797">
      <w:pPr>
        <w:pStyle w:val="90"/>
        <w:rPr>
          <w:color w:val="auto"/>
          <w:kern w:val="44"/>
        </w:rPr>
      </w:pPr>
      <w:r>
        <w:rPr>
          <w:rFonts w:hint="eastAsia"/>
          <w:color w:val="auto"/>
          <w:kern w:val="44"/>
        </w:rPr>
        <w:t>② 转速</w:t>
      </w:r>
    </w:p>
    <w:p w14:paraId="028F5FB3">
      <w:pPr>
        <w:pStyle w:val="90"/>
        <w:rPr>
          <w:color w:val="auto"/>
          <w:kern w:val="44"/>
        </w:rPr>
      </w:pPr>
      <w:r>
        <w:rPr>
          <w:rFonts w:hint="eastAsia"/>
          <w:color w:val="auto"/>
          <w:kern w:val="44"/>
        </w:rPr>
        <w:t>在执行机构没有载荷的情况下，计算在1分钟内的转数以检验电机的总转数和蜗轮与蜗杆的转数比率达到要求，从而获得阀门规定的开关速度。</w:t>
      </w:r>
    </w:p>
    <w:p w14:paraId="2925FD05">
      <w:pPr>
        <w:pStyle w:val="90"/>
        <w:rPr>
          <w:color w:val="auto"/>
          <w:kern w:val="44"/>
        </w:rPr>
      </w:pPr>
      <w:r>
        <w:rPr>
          <w:rFonts w:hint="eastAsia"/>
          <w:color w:val="auto"/>
          <w:kern w:val="44"/>
        </w:rPr>
        <w:t>③ 最小扭矩的设定</w:t>
      </w:r>
    </w:p>
    <w:p w14:paraId="6AEF3515">
      <w:pPr>
        <w:pStyle w:val="90"/>
        <w:rPr>
          <w:color w:val="auto"/>
          <w:kern w:val="44"/>
        </w:rPr>
      </w:pPr>
      <w:r>
        <w:rPr>
          <w:rFonts w:hint="eastAsia"/>
          <w:color w:val="auto"/>
          <w:kern w:val="44"/>
        </w:rPr>
        <w:t>在对执行机构施加额定电压和逐渐增加荷载时，把扭矩开关调到最小值并适当连接远控回路单元，然后在正反转向测量扭矩。阀门所吸收的扭矩趋势</w:t>
      </w:r>
      <w:r>
        <w:rPr>
          <w:rFonts w:hint="eastAsia"/>
          <w:b/>
          <w:color w:val="auto"/>
          <w:kern w:val="44"/>
        </w:rPr>
        <w:t>应</w:t>
      </w:r>
      <w:r>
        <w:rPr>
          <w:rFonts w:hint="eastAsia"/>
          <w:color w:val="auto"/>
          <w:kern w:val="44"/>
        </w:rPr>
        <w:t>记录在检测证书上。</w:t>
      </w:r>
    </w:p>
    <w:p w14:paraId="46913638">
      <w:pPr>
        <w:pStyle w:val="90"/>
        <w:rPr>
          <w:color w:val="auto"/>
          <w:kern w:val="44"/>
        </w:rPr>
      </w:pPr>
      <w:r>
        <w:rPr>
          <w:rFonts w:hint="eastAsia"/>
          <w:color w:val="auto"/>
          <w:kern w:val="44"/>
        </w:rPr>
        <w:t>④ 最大扭矩的设定</w:t>
      </w:r>
    </w:p>
    <w:p w14:paraId="35B38C09">
      <w:pPr>
        <w:pStyle w:val="90"/>
        <w:rPr>
          <w:color w:val="auto"/>
          <w:kern w:val="44"/>
        </w:rPr>
      </w:pPr>
      <w:r>
        <w:rPr>
          <w:rFonts w:hint="eastAsia"/>
          <w:color w:val="auto"/>
          <w:kern w:val="44"/>
        </w:rPr>
        <w:t>在对执行机构施加额定电压和逐渐增加荷载时，扭矩保护系统与远控回路单元连接，测量正反转向扭矩。从无载荷开始直到扭矩保护系统动作而停止应累进实现，且不少于5个阶段。阀门所吸收的扭矩趋势应记录在检测证书上。</w:t>
      </w:r>
    </w:p>
    <w:p w14:paraId="407EAB65">
      <w:pPr>
        <w:pStyle w:val="90"/>
        <w:rPr>
          <w:color w:val="auto"/>
          <w:kern w:val="44"/>
        </w:rPr>
      </w:pPr>
      <w:r>
        <w:rPr>
          <w:rFonts w:hint="eastAsia"/>
          <w:color w:val="auto"/>
          <w:kern w:val="44"/>
        </w:rPr>
        <w:t>⑤ 手动控制的正确操作</w:t>
      </w:r>
    </w:p>
    <w:p w14:paraId="461CCE5D">
      <w:pPr>
        <w:pStyle w:val="90"/>
        <w:rPr>
          <w:color w:val="auto"/>
          <w:kern w:val="44"/>
        </w:rPr>
      </w:pPr>
      <w:r>
        <w:rPr>
          <w:rFonts w:hint="eastAsia"/>
          <w:color w:val="auto"/>
          <w:kern w:val="44"/>
        </w:rPr>
        <w:t>在无载荷的条件下，进行手动控制连接的测试（执行机构无回转）。无载荷执行机构停止后，在阀门最大转距的70％～80％时，正反转向连接手动控制。</w:t>
      </w:r>
    </w:p>
    <w:p w14:paraId="0278279C">
      <w:pPr>
        <w:pStyle w:val="90"/>
        <w:rPr>
          <w:color w:val="auto"/>
          <w:kern w:val="44"/>
        </w:rPr>
      </w:pPr>
      <w:r>
        <w:rPr>
          <w:rFonts w:hint="eastAsia"/>
          <w:color w:val="auto"/>
          <w:kern w:val="44"/>
        </w:rPr>
        <w:t>在执行机构无载荷条件下，进行手动控制的连接和断开的测试。执行机构在转动状态下，在正反向连续两次连接手动控制。检查手动控制的连接与断开时，手轮</w:t>
      </w:r>
      <w:r>
        <w:rPr>
          <w:rFonts w:hint="eastAsia"/>
          <w:b/>
          <w:color w:val="auto"/>
          <w:kern w:val="44"/>
        </w:rPr>
        <w:t>应</w:t>
      </w:r>
      <w:r>
        <w:rPr>
          <w:rFonts w:hint="eastAsia"/>
          <w:color w:val="auto"/>
          <w:kern w:val="44"/>
        </w:rPr>
        <w:t>无异常动作。</w:t>
      </w:r>
    </w:p>
    <w:p w14:paraId="66E75610">
      <w:pPr>
        <w:pStyle w:val="96"/>
        <w:numPr>
          <w:ilvl w:val="0"/>
          <w:numId w:val="5"/>
        </w:numPr>
        <w:tabs>
          <w:tab w:val="clear" w:pos="855"/>
        </w:tabs>
        <w:ind w:firstLine="560"/>
        <w:rPr>
          <w:color w:val="auto"/>
          <w:kern w:val="44"/>
        </w:rPr>
      </w:pPr>
      <w:r>
        <w:rPr>
          <w:rFonts w:hint="eastAsia"/>
          <w:color w:val="auto"/>
          <w:kern w:val="44"/>
        </w:rPr>
        <w:t>设定值的校准</w:t>
      </w:r>
    </w:p>
    <w:p w14:paraId="070C4236">
      <w:pPr>
        <w:pStyle w:val="90"/>
        <w:rPr>
          <w:color w:val="auto"/>
          <w:kern w:val="44"/>
        </w:rPr>
      </w:pPr>
      <w:r>
        <w:rPr>
          <w:rFonts w:hint="eastAsia"/>
          <w:color w:val="auto"/>
          <w:kern w:val="44"/>
        </w:rPr>
        <w:t>各种限位微调开关</w:t>
      </w:r>
      <w:r>
        <w:rPr>
          <w:rFonts w:hint="eastAsia"/>
          <w:b/>
          <w:color w:val="auto"/>
          <w:kern w:val="44"/>
        </w:rPr>
        <w:t>应</w:t>
      </w:r>
      <w:r>
        <w:rPr>
          <w:rFonts w:hint="eastAsia"/>
          <w:color w:val="auto"/>
          <w:kern w:val="44"/>
        </w:rPr>
        <w:t>调到各自正确操作的设定位置。</w:t>
      </w:r>
    </w:p>
    <w:p w14:paraId="0AA04219">
      <w:pPr>
        <w:pStyle w:val="96"/>
        <w:numPr>
          <w:ilvl w:val="0"/>
          <w:numId w:val="5"/>
        </w:numPr>
        <w:tabs>
          <w:tab w:val="clear" w:pos="855"/>
        </w:tabs>
        <w:ind w:firstLine="560"/>
        <w:rPr>
          <w:color w:val="auto"/>
          <w:kern w:val="44"/>
        </w:rPr>
      </w:pPr>
      <w:r>
        <w:rPr>
          <w:rFonts w:hint="eastAsia"/>
          <w:color w:val="auto"/>
          <w:kern w:val="44"/>
        </w:rPr>
        <w:t>外观检测</w:t>
      </w:r>
    </w:p>
    <w:p w14:paraId="2ACD45A4">
      <w:pPr>
        <w:pStyle w:val="90"/>
        <w:rPr>
          <w:color w:val="auto"/>
          <w:kern w:val="44"/>
        </w:rPr>
      </w:pPr>
      <w:r>
        <w:rPr>
          <w:rFonts w:hint="eastAsia"/>
          <w:color w:val="auto"/>
          <w:kern w:val="44"/>
        </w:rPr>
        <w:t>执行机构</w:t>
      </w:r>
      <w:r>
        <w:rPr>
          <w:rFonts w:hint="eastAsia"/>
          <w:b/>
          <w:color w:val="auto"/>
          <w:kern w:val="44"/>
        </w:rPr>
        <w:t>应</w:t>
      </w:r>
      <w:r>
        <w:rPr>
          <w:rFonts w:hint="eastAsia"/>
          <w:color w:val="auto"/>
          <w:kern w:val="44"/>
        </w:rPr>
        <w:t>该进行外观检测，以确保执行机构表面没有在制造和组装过程中因误操作所导致的创痕或损坏。除此之外，还包括以下几项的检测：</w:t>
      </w:r>
    </w:p>
    <w:p w14:paraId="75F9BF4C">
      <w:pPr>
        <w:pStyle w:val="90"/>
        <w:rPr>
          <w:color w:val="auto"/>
          <w:kern w:val="44"/>
        </w:rPr>
      </w:pPr>
      <w:r>
        <w:rPr>
          <w:rFonts w:hint="eastAsia"/>
          <w:color w:val="auto"/>
          <w:kern w:val="44"/>
        </w:rPr>
        <w:t>- 外观检测润滑油的严密性；</w:t>
      </w:r>
    </w:p>
    <w:p w14:paraId="3D674982">
      <w:pPr>
        <w:pStyle w:val="90"/>
        <w:rPr>
          <w:color w:val="auto"/>
          <w:kern w:val="44"/>
        </w:rPr>
      </w:pPr>
      <w:r>
        <w:rPr>
          <w:rFonts w:hint="eastAsia"/>
          <w:color w:val="auto"/>
          <w:kern w:val="44"/>
        </w:rPr>
        <w:t>- 确保最后要安装的系统替换了用于检测的系统；</w:t>
      </w:r>
    </w:p>
    <w:p w14:paraId="3C7D0D69">
      <w:pPr>
        <w:pStyle w:val="90"/>
        <w:rPr>
          <w:color w:val="auto"/>
          <w:kern w:val="44"/>
        </w:rPr>
      </w:pPr>
      <w:r>
        <w:rPr>
          <w:rFonts w:hint="eastAsia"/>
          <w:color w:val="auto"/>
          <w:kern w:val="44"/>
        </w:rPr>
        <w:t xml:space="preserve">- 检查阀杆外盖或旋塞是否正确地安装好； </w:t>
      </w:r>
    </w:p>
    <w:p w14:paraId="50BE93D9">
      <w:pPr>
        <w:pStyle w:val="90"/>
        <w:rPr>
          <w:color w:val="auto"/>
          <w:kern w:val="44"/>
        </w:rPr>
      </w:pPr>
      <w:r>
        <w:rPr>
          <w:rFonts w:hint="eastAsia"/>
          <w:color w:val="auto"/>
          <w:kern w:val="44"/>
        </w:rPr>
        <w:t xml:space="preserve">- 检查定位螺钉是否完全拧紧； </w:t>
      </w:r>
    </w:p>
    <w:p w14:paraId="14CFEE76">
      <w:pPr>
        <w:pStyle w:val="90"/>
        <w:rPr>
          <w:color w:val="auto"/>
          <w:kern w:val="44"/>
        </w:rPr>
      </w:pPr>
      <w:r>
        <w:rPr>
          <w:rFonts w:hint="eastAsia"/>
          <w:color w:val="auto"/>
          <w:kern w:val="44"/>
        </w:rPr>
        <w:t>- 检查电缆密封套或插塞是否已经安装在电缆进口上。</w:t>
      </w:r>
    </w:p>
    <w:p w14:paraId="79997673">
      <w:pPr>
        <w:pStyle w:val="96"/>
        <w:numPr>
          <w:ilvl w:val="0"/>
          <w:numId w:val="5"/>
        </w:numPr>
        <w:tabs>
          <w:tab w:val="clear" w:pos="855"/>
        </w:tabs>
        <w:ind w:firstLine="560"/>
        <w:rPr>
          <w:color w:val="auto"/>
          <w:kern w:val="44"/>
        </w:rPr>
      </w:pPr>
      <w:r>
        <w:rPr>
          <w:rFonts w:hint="eastAsia"/>
          <w:color w:val="auto"/>
          <w:kern w:val="44"/>
        </w:rPr>
        <w:t>每台执行机构均</w:t>
      </w:r>
      <w:r>
        <w:rPr>
          <w:rFonts w:hint="eastAsia"/>
          <w:b/>
          <w:color w:val="auto"/>
          <w:kern w:val="44"/>
        </w:rPr>
        <w:t>应</w:t>
      </w:r>
      <w:r>
        <w:rPr>
          <w:rFonts w:hint="eastAsia"/>
          <w:color w:val="auto"/>
          <w:kern w:val="44"/>
        </w:rPr>
        <w:t>进行性能测试且免费提供单独测试证明。</w:t>
      </w:r>
    </w:p>
    <w:p w14:paraId="4D7ADC9D">
      <w:pPr>
        <w:pStyle w:val="95"/>
        <w:numPr>
          <w:ilvl w:val="2"/>
          <w:numId w:val="4"/>
        </w:numPr>
        <w:rPr>
          <w:kern w:val="44"/>
        </w:rPr>
      </w:pPr>
      <w:r>
        <w:rPr>
          <w:rFonts w:hint="eastAsia"/>
          <w:kern w:val="44"/>
        </w:rPr>
        <w:t>在阀门制造厂进行的试验</w:t>
      </w:r>
    </w:p>
    <w:p w14:paraId="4AC26B0D">
      <w:pPr>
        <w:pStyle w:val="90"/>
        <w:rPr>
          <w:color w:val="auto"/>
          <w:kern w:val="44"/>
        </w:rPr>
      </w:pPr>
      <w:r>
        <w:rPr>
          <w:rFonts w:hint="eastAsia"/>
          <w:color w:val="auto"/>
          <w:kern w:val="44"/>
        </w:rPr>
        <w:t>除了阀门技术文件要求外，组装好的阀门和执行机构</w:t>
      </w:r>
      <w:r>
        <w:rPr>
          <w:rFonts w:hint="eastAsia"/>
          <w:b/>
          <w:color w:val="auto"/>
          <w:kern w:val="44"/>
        </w:rPr>
        <w:t>应</w:t>
      </w:r>
      <w:r>
        <w:rPr>
          <w:rFonts w:hint="eastAsia"/>
          <w:color w:val="auto"/>
          <w:kern w:val="44"/>
        </w:rPr>
        <w:t>在阀门生产车间进行如下检测，执行机构制造商</w:t>
      </w:r>
      <w:r>
        <w:rPr>
          <w:rFonts w:hint="eastAsia"/>
          <w:b/>
          <w:color w:val="auto"/>
          <w:kern w:val="44"/>
        </w:rPr>
        <w:t>应</w:t>
      </w:r>
      <w:r>
        <w:rPr>
          <w:rFonts w:hint="eastAsia"/>
          <w:color w:val="auto"/>
          <w:kern w:val="44"/>
        </w:rPr>
        <w:t>配合检测：</w:t>
      </w:r>
    </w:p>
    <w:p w14:paraId="08E08DEB">
      <w:pPr>
        <w:pStyle w:val="90"/>
        <w:rPr>
          <w:color w:val="auto"/>
          <w:kern w:val="44"/>
        </w:rPr>
      </w:pPr>
      <w:r>
        <w:rPr>
          <w:rFonts w:hint="eastAsia"/>
          <w:color w:val="auto"/>
          <w:kern w:val="44"/>
        </w:rPr>
        <w:t>- 在执行机构关闭状态下，阀门的严密性检测；</w:t>
      </w:r>
    </w:p>
    <w:p w14:paraId="5510F73C">
      <w:pPr>
        <w:pStyle w:val="90"/>
        <w:rPr>
          <w:color w:val="auto"/>
          <w:kern w:val="44"/>
        </w:rPr>
      </w:pPr>
      <w:r>
        <w:rPr>
          <w:rFonts w:hint="eastAsia"/>
          <w:color w:val="auto"/>
          <w:kern w:val="44"/>
        </w:rPr>
        <w:t xml:space="preserve">- 无载荷和有载荷条件下的操作试验，包括扭矩和限位开关操作试验； </w:t>
      </w:r>
    </w:p>
    <w:p w14:paraId="0739C6CA">
      <w:pPr>
        <w:pStyle w:val="90"/>
        <w:rPr>
          <w:color w:val="auto"/>
          <w:kern w:val="44"/>
        </w:rPr>
      </w:pPr>
      <w:r>
        <w:rPr>
          <w:rFonts w:hint="eastAsia"/>
          <w:color w:val="auto"/>
          <w:kern w:val="44"/>
        </w:rPr>
        <w:t>- 对于球阀，要检查阀门在关闭状态下阀杆轴线是否垂直于管线的轴线；</w:t>
      </w:r>
    </w:p>
    <w:p w14:paraId="06E198B4">
      <w:pPr>
        <w:pStyle w:val="90"/>
        <w:rPr>
          <w:color w:val="auto"/>
          <w:kern w:val="44"/>
        </w:rPr>
      </w:pPr>
      <w:r>
        <w:rPr>
          <w:rFonts w:hint="eastAsia"/>
          <w:color w:val="auto"/>
          <w:kern w:val="44"/>
        </w:rPr>
        <w:t>- 机械限位装置的检测和信号回讯的检测。</w:t>
      </w:r>
    </w:p>
    <w:p w14:paraId="421B2CAD">
      <w:pPr>
        <w:pStyle w:val="95"/>
        <w:numPr>
          <w:ilvl w:val="2"/>
          <w:numId w:val="4"/>
        </w:numPr>
        <w:rPr>
          <w:kern w:val="44"/>
        </w:rPr>
      </w:pPr>
      <w:r>
        <w:rPr>
          <w:rFonts w:hint="eastAsia"/>
          <w:kern w:val="44"/>
        </w:rPr>
        <w:t>现场测试</w:t>
      </w:r>
    </w:p>
    <w:p w14:paraId="44527D06">
      <w:pPr>
        <w:pStyle w:val="90"/>
        <w:rPr>
          <w:color w:val="auto"/>
          <w:kern w:val="44"/>
        </w:rPr>
      </w:pPr>
      <w:r>
        <w:rPr>
          <w:rFonts w:hint="eastAsia"/>
          <w:color w:val="auto"/>
          <w:kern w:val="44"/>
        </w:rPr>
        <w:t>制造商在接到订单后</w:t>
      </w:r>
      <w:r>
        <w:rPr>
          <w:rFonts w:hint="eastAsia"/>
          <w:b/>
          <w:color w:val="auto"/>
          <w:kern w:val="44"/>
        </w:rPr>
        <w:t>应</w:t>
      </w:r>
      <w:r>
        <w:rPr>
          <w:rFonts w:hint="eastAsia"/>
          <w:color w:val="auto"/>
          <w:kern w:val="44"/>
        </w:rPr>
        <w:t>提交一份推荐的执行机构测试程序的拷贝文件给购方审批。按购方要求，执行机构—阀门总成件在安装期间，制造商</w:t>
      </w:r>
      <w:r>
        <w:rPr>
          <w:rFonts w:hint="eastAsia"/>
          <w:b/>
          <w:color w:val="auto"/>
          <w:kern w:val="44"/>
        </w:rPr>
        <w:t>应</w:t>
      </w:r>
      <w:r>
        <w:rPr>
          <w:rFonts w:hint="eastAsia"/>
          <w:color w:val="auto"/>
          <w:kern w:val="44"/>
        </w:rPr>
        <w:t>派有经验的工程师到现场进行服务。在此期间系统所有的功能性部件都将得到测试和校验，以保证其正常运转。</w:t>
      </w:r>
    </w:p>
    <w:p w14:paraId="6ABDC794">
      <w:pPr>
        <w:pStyle w:val="90"/>
        <w:rPr>
          <w:color w:val="auto"/>
          <w:kern w:val="44"/>
        </w:rPr>
      </w:pPr>
      <w:r>
        <w:rPr>
          <w:rFonts w:hint="eastAsia"/>
          <w:color w:val="auto"/>
          <w:kern w:val="44"/>
        </w:rPr>
        <w:t>具体的检验要求列在本技术规格书附录B的“检验要求”中。</w:t>
      </w:r>
    </w:p>
    <w:p w14:paraId="1548A747">
      <w:pPr>
        <w:pStyle w:val="94"/>
        <w:numPr>
          <w:ilvl w:val="0"/>
          <w:numId w:val="4"/>
        </w:numPr>
      </w:pPr>
      <w:bookmarkStart w:id="150" w:name="_Toc29731"/>
      <w:bookmarkStart w:id="151" w:name="_Toc21713"/>
      <w:bookmarkStart w:id="152" w:name="_Toc28285"/>
      <w:bookmarkStart w:id="153" w:name="_Toc15930"/>
      <w:bookmarkStart w:id="154" w:name="_Toc24352"/>
      <w:bookmarkStart w:id="155" w:name="_Toc58226409"/>
      <w:bookmarkStart w:id="156" w:name="_Toc339469373"/>
      <w:bookmarkStart w:id="157" w:name="_Toc9268"/>
      <w:bookmarkStart w:id="158" w:name="_Toc9817"/>
      <w:bookmarkStart w:id="159" w:name="_Toc18126"/>
      <w:bookmarkStart w:id="160" w:name="_Toc7993"/>
      <w:bookmarkStart w:id="161" w:name="_Toc21672"/>
      <w:bookmarkStart w:id="162" w:name="_Toc12895"/>
      <w:r>
        <w:rPr>
          <w:rFonts w:hint="eastAsia"/>
        </w:rPr>
        <w:t>备品、备件</w:t>
      </w:r>
      <w:bookmarkEnd w:id="150"/>
    </w:p>
    <w:p w14:paraId="72923F23">
      <w:pPr>
        <w:pStyle w:val="90"/>
        <w:rPr>
          <w:color w:val="auto"/>
        </w:rPr>
      </w:pPr>
      <w:r>
        <w:rPr>
          <w:rFonts w:hint="eastAsia"/>
          <w:color w:val="auto"/>
        </w:rPr>
        <w:t>供方</w:t>
      </w:r>
      <w:r>
        <w:rPr>
          <w:rFonts w:hint="eastAsia"/>
          <w:b/>
          <w:color w:val="auto"/>
        </w:rPr>
        <w:t>必须</w:t>
      </w:r>
      <w:r>
        <w:rPr>
          <w:rFonts w:hint="eastAsia"/>
          <w:color w:val="auto"/>
        </w:rPr>
        <w:t>提供阀门及执行机构用于投产和试运行的必备件，并且在投标书中列出清单。</w:t>
      </w:r>
    </w:p>
    <w:p w14:paraId="7343AEC9">
      <w:pPr>
        <w:pStyle w:val="90"/>
        <w:rPr>
          <w:color w:val="auto"/>
        </w:rPr>
      </w:pPr>
      <w:r>
        <w:rPr>
          <w:rFonts w:hint="eastAsia"/>
          <w:color w:val="auto"/>
        </w:rPr>
        <w:t>由供方推荐的正常操作两年所需的备件</w:t>
      </w:r>
      <w:r>
        <w:rPr>
          <w:rFonts w:hint="eastAsia"/>
          <w:b/>
          <w:color w:val="auto"/>
        </w:rPr>
        <w:t>应</w:t>
      </w:r>
      <w:r>
        <w:rPr>
          <w:rFonts w:hint="eastAsia"/>
          <w:color w:val="auto"/>
        </w:rPr>
        <w:t>单独列出清单，并单独报价。</w:t>
      </w:r>
    </w:p>
    <w:p w14:paraId="4DD38ED4">
      <w:pPr>
        <w:pStyle w:val="90"/>
        <w:rPr>
          <w:color w:val="auto"/>
        </w:rPr>
      </w:pPr>
      <w:r>
        <w:rPr>
          <w:rFonts w:hint="eastAsia"/>
          <w:color w:val="auto"/>
        </w:rPr>
        <w:t>供方</w:t>
      </w:r>
      <w:r>
        <w:rPr>
          <w:rFonts w:hint="eastAsia"/>
          <w:b/>
          <w:color w:val="auto"/>
        </w:rPr>
        <w:t>应</w:t>
      </w:r>
      <w:r>
        <w:rPr>
          <w:rFonts w:hint="eastAsia"/>
          <w:color w:val="auto"/>
        </w:rPr>
        <w:t>提供维护时所需的特殊工具。</w:t>
      </w:r>
    </w:p>
    <w:p w14:paraId="76B07DD1">
      <w:pPr>
        <w:pStyle w:val="94"/>
        <w:numPr>
          <w:ilvl w:val="0"/>
          <w:numId w:val="4"/>
        </w:numPr>
      </w:pPr>
      <w:bookmarkStart w:id="163" w:name="_Toc32092"/>
      <w:r>
        <w:rPr>
          <w:rFonts w:hint="eastAsia"/>
        </w:rPr>
        <w:t>喷涂、储存、包装和运输</w:t>
      </w:r>
      <w:bookmarkEnd w:id="151"/>
      <w:bookmarkEnd w:id="152"/>
      <w:bookmarkEnd w:id="153"/>
      <w:bookmarkEnd w:id="154"/>
      <w:bookmarkEnd w:id="155"/>
      <w:bookmarkEnd w:id="156"/>
      <w:bookmarkEnd w:id="157"/>
      <w:bookmarkEnd w:id="158"/>
      <w:bookmarkEnd w:id="159"/>
      <w:bookmarkEnd w:id="160"/>
      <w:bookmarkEnd w:id="161"/>
      <w:bookmarkEnd w:id="162"/>
      <w:bookmarkEnd w:id="163"/>
    </w:p>
    <w:p w14:paraId="6607CBD4">
      <w:pPr>
        <w:pStyle w:val="90"/>
        <w:rPr>
          <w:color w:val="auto"/>
        </w:rPr>
      </w:pPr>
      <w:r>
        <w:rPr>
          <w:rFonts w:hint="eastAsia"/>
          <w:color w:val="auto"/>
        </w:rPr>
        <w:t>运输前暂时储存的阀门</w:t>
      </w:r>
      <w:r>
        <w:rPr>
          <w:rFonts w:hint="eastAsia"/>
          <w:b/>
          <w:color w:val="auto"/>
        </w:rPr>
        <w:t>应</w:t>
      </w:r>
      <w:r>
        <w:rPr>
          <w:rFonts w:hint="eastAsia"/>
          <w:color w:val="auto"/>
        </w:rPr>
        <w:t>进行适当的保护以防损伤。所有螺纹和精加工表面均</w:t>
      </w:r>
      <w:r>
        <w:rPr>
          <w:rFonts w:hint="eastAsia"/>
          <w:b/>
          <w:color w:val="auto"/>
        </w:rPr>
        <w:t>应</w:t>
      </w:r>
      <w:r>
        <w:rPr>
          <w:rFonts w:hint="eastAsia"/>
          <w:color w:val="auto"/>
        </w:rPr>
        <w:t>用防锈油或其它适当的材料保护。</w:t>
      </w:r>
    </w:p>
    <w:p w14:paraId="02BE79EA">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运输前，所有的阀门和执行机构</w:t>
      </w:r>
      <w:r>
        <w:rPr>
          <w:rFonts w:hint="eastAsia" w:ascii="宋体" w:hAnsi="宋体"/>
          <w:b/>
          <w:spacing w:val="20"/>
        </w:rPr>
        <w:t>应</w:t>
      </w:r>
      <w:r>
        <w:rPr>
          <w:rFonts w:hint="eastAsia" w:ascii="宋体" w:hAnsi="宋体"/>
          <w:spacing w:val="20"/>
        </w:rPr>
        <w:t>由阀门制造厂组装好。所有阀门两端</w:t>
      </w:r>
      <w:r>
        <w:rPr>
          <w:rFonts w:hint="eastAsia" w:ascii="宋体" w:hAnsi="宋体"/>
          <w:b/>
          <w:spacing w:val="20"/>
        </w:rPr>
        <w:t>应</w:t>
      </w:r>
      <w:r>
        <w:rPr>
          <w:rFonts w:hint="eastAsia" w:ascii="宋体" w:hAnsi="宋体"/>
          <w:spacing w:val="20"/>
        </w:rPr>
        <w:t>用端盖封堵。</w:t>
      </w:r>
    </w:p>
    <w:p w14:paraId="22179483">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执行机构</w:t>
      </w:r>
      <w:r>
        <w:rPr>
          <w:rFonts w:hint="eastAsia" w:ascii="宋体" w:hAnsi="宋体"/>
          <w:b/>
          <w:spacing w:val="20"/>
        </w:rPr>
        <w:t>应</w:t>
      </w:r>
      <w:r>
        <w:rPr>
          <w:rFonts w:hint="eastAsia" w:ascii="宋体" w:hAnsi="宋体"/>
          <w:spacing w:val="20"/>
        </w:rPr>
        <w:t>在成品发运之前进行标准涂漆，该涂漆</w:t>
      </w:r>
      <w:r>
        <w:rPr>
          <w:rFonts w:hint="eastAsia" w:ascii="宋体" w:hAnsi="宋体"/>
          <w:b/>
          <w:spacing w:val="20"/>
        </w:rPr>
        <w:t>应</w:t>
      </w:r>
      <w:r>
        <w:rPr>
          <w:rFonts w:hint="eastAsia" w:ascii="宋体" w:hAnsi="宋体"/>
          <w:spacing w:val="20"/>
        </w:rPr>
        <w:t>适合现场环境条件。</w:t>
      </w:r>
    </w:p>
    <w:p w14:paraId="60F57BE7">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执行机构</w:t>
      </w:r>
      <w:r>
        <w:rPr>
          <w:rFonts w:hint="eastAsia" w:ascii="宋体" w:hAnsi="宋体"/>
          <w:b/>
          <w:spacing w:val="20"/>
        </w:rPr>
        <w:t>应</w:t>
      </w:r>
      <w:r>
        <w:rPr>
          <w:rFonts w:hint="eastAsia" w:ascii="宋体" w:hAnsi="宋体"/>
          <w:spacing w:val="20"/>
        </w:rPr>
        <w:t>进行适当的处理、包装和保护，以防止运往阀门制造厂的过程中，搬运或长时间存放时遭受损坏。</w:t>
      </w:r>
    </w:p>
    <w:p w14:paraId="7ABAFD32">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执行机构供方负责执行机构从执行机构制造厂至阀门制造厂之间的包装和运输。</w:t>
      </w:r>
    </w:p>
    <w:p w14:paraId="2607015E">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执行机构供方有义务协助阀门供方做好执行机构从阀门制造厂到现场的包装和运输工作。</w:t>
      </w:r>
    </w:p>
    <w:p w14:paraId="20D067E4">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如果可能，在储存、安装和备用时</w:t>
      </w:r>
      <w:r>
        <w:rPr>
          <w:rFonts w:hint="eastAsia" w:ascii="宋体" w:hAnsi="宋体"/>
          <w:b/>
          <w:spacing w:val="20"/>
        </w:rPr>
        <w:t>应</w:t>
      </w:r>
      <w:r>
        <w:rPr>
          <w:rFonts w:hint="eastAsia" w:ascii="宋体" w:hAnsi="宋体"/>
          <w:spacing w:val="20"/>
        </w:rPr>
        <w:t>使用电机空间加热器，以防止电机受潮。</w:t>
      </w:r>
    </w:p>
    <w:p w14:paraId="45B75EA5">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执行机构和阀门的最终组装将由阀门厂家负责完成，并在阀门厂家进行必要的检测和试验（如：6.3.2在阀门厂家的检测）。因此执行机构将和阀门包装在一起进行运输。</w:t>
      </w:r>
    </w:p>
    <w:p w14:paraId="32A1B37E">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无论何种原因造成的执行机构损坏，均由执行机构供方负责维修或更换。</w:t>
      </w:r>
    </w:p>
    <w:p w14:paraId="1BA44F0B">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平板闸阀</w:t>
      </w:r>
      <w:r>
        <w:rPr>
          <w:rFonts w:hint="eastAsia" w:ascii="宋体" w:hAnsi="宋体"/>
          <w:b/>
          <w:spacing w:val="20"/>
        </w:rPr>
        <w:t>应</w:t>
      </w:r>
      <w:r>
        <w:rPr>
          <w:rFonts w:hint="eastAsia" w:ascii="宋体" w:hAnsi="宋体"/>
          <w:spacing w:val="20"/>
        </w:rPr>
        <w:t>在全关位置上发运。待运的阀门</w:t>
      </w:r>
      <w:r>
        <w:rPr>
          <w:rFonts w:hint="eastAsia" w:ascii="宋体" w:hAnsi="宋体"/>
          <w:b/>
          <w:spacing w:val="20"/>
        </w:rPr>
        <w:t>应</w:t>
      </w:r>
      <w:r>
        <w:rPr>
          <w:rFonts w:hint="eastAsia" w:ascii="宋体" w:hAnsi="宋体"/>
          <w:spacing w:val="20"/>
        </w:rPr>
        <w:t>卸下手轮并与阀门一同装箱以备运输。除非运输需要，否则阀门的零部件不得拆卸。当必须拆卸时，阀门之间的零部件</w:t>
      </w:r>
      <w:r>
        <w:rPr>
          <w:rFonts w:hint="eastAsia" w:ascii="宋体" w:hAnsi="宋体"/>
          <w:b/>
          <w:spacing w:val="20"/>
        </w:rPr>
        <w:t>不得</w:t>
      </w:r>
      <w:r>
        <w:rPr>
          <w:rFonts w:hint="eastAsia" w:ascii="宋体" w:hAnsi="宋体"/>
          <w:spacing w:val="20"/>
        </w:rPr>
        <w:t>相互交换。阀门</w:t>
      </w:r>
      <w:r>
        <w:rPr>
          <w:rFonts w:hint="eastAsia" w:ascii="宋体" w:hAnsi="宋体"/>
          <w:b/>
          <w:spacing w:val="20"/>
        </w:rPr>
        <w:t>应</w:t>
      </w:r>
      <w:r>
        <w:rPr>
          <w:rFonts w:hint="eastAsia" w:ascii="宋体" w:hAnsi="宋体"/>
          <w:spacing w:val="20"/>
        </w:rPr>
        <w:t>分站场进行包装，备件</w:t>
      </w:r>
      <w:r>
        <w:rPr>
          <w:rFonts w:hint="eastAsia" w:ascii="宋体" w:hAnsi="宋体"/>
          <w:b/>
          <w:spacing w:val="20"/>
        </w:rPr>
        <w:t>应</w:t>
      </w:r>
      <w:r>
        <w:rPr>
          <w:rFonts w:hint="eastAsia" w:ascii="宋体" w:hAnsi="宋体"/>
          <w:spacing w:val="20"/>
        </w:rPr>
        <w:t>单独包装，备件送到购方指定的地点，所有外包装上</w:t>
      </w:r>
      <w:r>
        <w:rPr>
          <w:rFonts w:hint="eastAsia" w:ascii="宋体" w:hAnsi="宋体"/>
          <w:b/>
          <w:spacing w:val="20"/>
        </w:rPr>
        <w:t>应</w:t>
      </w:r>
      <w:r>
        <w:rPr>
          <w:rFonts w:hint="eastAsia" w:ascii="宋体" w:hAnsi="宋体"/>
          <w:spacing w:val="20"/>
        </w:rPr>
        <w:t>用中文标识其所属的站场及包装内容。</w:t>
      </w:r>
    </w:p>
    <w:p w14:paraId="79B5213C">
      <w:pPr>
        <w:tabs>
          <w:tab w:val="left" w:pos="425"/>
          <w:tab w:val="left" w:pos="567"/>
        </w:tabs>
        <w:suppressAutoHyphens/>
        <w:spacing w:line="360" w:lineRule="auto"/>
        <w:ind w:firstLine="500" w:firstLineChars="200"/>
        <w:rPr>
          <w:rFonts w:ascii="宋体" w:hAnsi="宋体"/>
          <w:spacing w:val="20"/>
        </w:rPr>
      </w:pPr>
      <w:r>
        <w:rPr>
          <w:rFonts w:hint="eastAsia" w:ascii="宋体" w:hAnsi="宋体"/>
          <w:spacing w:val="20"/>
        </w:rPr>
        <w:t>现场交接前无论何种原因造成的阀门损坏，均由阀门制造商负责维修和更换。</w:t>
      </w:r>
    </w:p>
    <w:p w14:paraId="16582CC3">
      <w:pPr>
        <w:pStyle w:val="94"/>
        <w:numPr>
          <w:ilvl w:val="0"/>
          <w:numId w:val="4"/>
        </w:numPr>
      </w:pPr>
      <w:bookmarkStart w:id="164" w:name="_Toc21778"/>
      <w:bookmarkStart w:id="165" w:name="_Toc12484"/>
      <w:bookmarkStart w:id="166" w:name="_Toc21311"/>
      <w:bookmarkStart w:id="167" w:name="_Toc58226410"/>
      <w:bookmarkStart w:id="168" w:name="_Toc32120"/>
      <w:bookmarkStart w:id="169" w:name="_Toc7585"/>
      <w:bookmarkStart w:id="170" w:name="_Toc2014"/>
      <w:bookmarkStart w:id="171" w:name="_Toc26941"/>
      <w:bookmarkStart w:id="172" w:name="_Toc9144"/>
      <w:bookmarkStart w:id="173" w:name="_Toc339469374"/>
      <w:bookmarkStart w:id="174" w:name="_Toc29702"/>
      <w:bookmarkStart w:id="175" w:name="_Toc32554"/>
      <w:bookmarkStart w:id="176" w:name="_Toc5279"/>
      <w:r>
        <w:rPr>
          <w:rFonts w:hint="eastAsia"/>
        </w:rPr>
        <w:t>图纸和证书</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71160D40">
      <w:pPr>
        <w:pStyle w:val="92"/>
        <w:numPr>
          <w:ilvl w:val="1"/>
          <w:numId w:val="4"/>
        </w:numPr>
        <w:rPr>
          <w:bCs/>
          <w:kern w:val="44"/>
        </w:rPr>
      </w:pPr>
      <w:r>
        <w:rPr>
          <w:rFonts w:hint="eastAsia"/>
        </w:rPr>
        <w:t>阀门</w:t>
      </w:r>
    </w:p>
    <w:p w14:paraId="4C10B688">
      <w:pPr>
        <w:pStyle w:val="95"/>
        <w:numPr>
          <w:ilvl w:val="2"/>
          <w:numId w:val="4"/>
        </w:numPr>
      </w:pPr>
      <w:bookmarkStart w:id="177" w:name="_Toc17115"/>
      <w:r>
        <w:rPr>
          <w:rFonts w:hint="eastAsia"/>
        </w:rPr>
        <w:t>初始文件</w:t>
      </w:r>
      <w:bookmarkEnd w:id="177"/>
    </w:p>
    <w:p w14:paraId="61E7624C">
      <w:pPr>
        <w:pStyle w:val="90"/>
        <w:rPr>
          <w:color w:val="auto"/>
        </w:rPr>
      </w:pPr>
      <w:r>
        <w:rPr>
          <w:rFonts w:hint="eastAsia"/>
          <w:color w:val="auto"/>
        </w:rPr>
        <w:t>在生产前，制造商</w:t>
      </w:r>
      <w:r>
        <w:rPr>
          <w:rFonts w:hint="eastAsia"/>
          <w:b/>
          <w:color w:val="auto"/>
        </w:rPr>
        <w:t>应</w:t>
      </w:r>
      <w:r>
        <w:rPr>
          <w:rFonts w:hint="eastAsia"/>
          <w:color w:val="auto"/>
        </w:rPr>
        <w:t>将与阀门有关的所有图纸、技术规定提交购方批准或审批。由购方签发的对阀门设计和制造变更的提议和建议，并不能免除制造商认可本技术规格书的所有要求或履行承诺时的任何责任。除非在合同中另有规定，制造商</w:t>
      </w:r>
      <w:r>
        <w:rPr>
          <w:rFonts w:hint="eastAsia"/>
          <w:b/>
          <w:color w:val="auto"/>
        </w:rPr>
        <w:t>应</w:t>
      </w:r>
      <w:r>
        <w:rPr>
          <w:rFonts w:hint="eastAsia"/>
          <w:color w:val="auto"/>
        </w:rPr>
        <w:t>在签订合同之日起一周内提交</w:t>
      </w:r>
      <w:r>
        <w:rPr>
          <w:color w:val="auto"/>
        </w:rPr>
        <w:t>3</w:t>
      </w:r>
      <w:r>
        <w:rPr>
          <w:rFonts w:hint="eastAsia"/>
          <w:color w:val="auto"/>
        </w:rPr>
        <w:t>份所有的图纸和技术文件给购方审批。</w:t>
      </w:r>
    </w:p>
    <w:p w14:paraId="114B0C19">
      <w:pPr>
        <w:pStyle w:val="90"/>
        <w:rPr>
          <w:color w:val="auto"/>
        </w:rPr>
      </w:pPr>
      <w:r>
        <w:rPr>
          <w:rFonts w:hint="eastAsia"/>
          <w:color w:val="auto"/>
        </w:rPr>
        <w:t>对每个规格型号的阀门，制造商</w:t>
      </w:r>
      <w:r>
        <w:rPr>
          <w:rFonts w:hint="eastAsia"/>
          <w:b/>
          <w:color w:val="auto"/>
        </w:rPr>
        <w:t>应</w:t>
      </w:r>
      <w:r>
        <w:rPr>
          <w:rFonts w:hint="eastAsia"/>
          <w:color w:val="auto"/>
        </w:rPr>
        <w:t>提交下面文件：</w:t>
      </w:r>
    </w:p>
    <w:p w14:paraId="434BEAFC">
      <w:pPr>
        <w:pStyle w:val="90"/>
        <w:rPr>
          <w:color w:val="auto"/>
        </w:rPr>
      </w:pPr>
      <w:r>
        <w:rPr>
          <w:color w:val="auto"/>
        </w:rPr>
        <w:t xml:space="preserve">- </w:t>
      </w:r>
      <w:r>
        <w:rPr>
          <w:rFonts w:hint="eastAsia"/>
          <w:color w:val="auto"/>
        </w:rPr>
        <w:t>阀门装配图；</w:t>
      </w:r>
    </w:p>
    <w:p w14:paraId="4F4AE42F">
      <w:pPr>
        <w:pStyle w:val="90"/>
        <w:rPr>
          <w:color w:val="auto"/>
        </w:rPr>
      </w:pPr>
      <w:r>
        <w:rPr>
          <w:color w:val="auto"/>
        </w:rPr>
        <w:t xml:space="preserve">- </w:t>
      </w:r>
      <w:r>
        <w:rPr>
          <w:rFonts w:hint="eastAsia"/>
          <w:color w:val="auto"/>
        </w:rPr>
        <w:t>显示所有尺寸的剖面图；</w:t>
      </w:r>
    </w:p>
    <w:p w14:paraId="7880D04D">
      <w:pPr>
        <w:pStyle w:val="90"/>
        <w:rPr>
          <w:color w:val="auto"/>
        </w:rPr>
      </w:pPr>
      <w:r>
        <w:rPr>
          <w:color w:val="auto"/>
        </w:rPr>
        <w:t xml:space="preserve">- </w:t>
      </w:r>
      <w:r>
        <w:rPr>
          <w:rFonts w:hint="eastAsia"/>
          <w:color w:val="auto"/>
        </w:rPr>
        <w:t>阀门底部视图以检验阀门支架的准确位置；</w:t>
      </w:r>
    </w:p>
    <w:p w14:paraId="73066D65">
      <w:pPr>
        <w:pStyle w:val="90"/>
        <w:rPr>
          <w:color w:val="auto"/>
        </w:rPr>
      </w:pPr>
      <w:r>
        <w:rPr>
          <w:color w:val="auto"/>
        </w:rPr>
        <w:t xml:space="preserve">- </w:t>
      </w:r>
      <w:r>
        <w:rPr>
          <w:rFonts w:hint="eastAsia"/>
          <w:color w:val="auto"/>
        </w:rPr>
        <w:t>阀门重量（阀门和执行机构总成后的）；</w:t>
      </w:r>
    </w:p>
    <w:p w14:paraId="4E1CD489">
      <w:pPr>
        <w:pStyle w:val="90"/>
        <w:rPr>
          <w:color w:val="auto"/>
        </w:rPr>
      </w:pPr>
      <w:r>
        <w:rPr>
          <w:color w:val="auto"/>
        </w:rPr>
        <w:t xml:space="preserve">- </w:t>
      </w:r>
      <w:r>
        <w:rPr>
          <w:rFonts w:hint="eastAsia"/>
          <w:color w:val="auto"/>
        </w:rPr>
        <w:t>执行机构的扭矩、功率、全行程时间等参数；</w:t>
      </w:r>
    </w:p>
    <w:p w14:paraId="7A58E349">
      <w:pPr>
        <w:pStyle w:val="90"/>
        <w:rPr>
          <w:color w:val="auto"/>
        </w:rPr>
      </w:pPr>
      <w:r>
        <w:rPr>
          <w:color w:val="auto"/>
        </w:rPr>
        <w:t xml:space="preserve">- </w:t>
      </w:r>
      <w:r>
        <w:rPr>
          <w:rFonts w:hint="eastAsia"/>
          <w:color w:val="auto"/>
        </w:rPr>
        <w:t>完整的刷漆周期和标明阀门主要和易损部件的数量和材料清单；</w:t>
      </w:r>
    </w:p>
    <w:p w14:paraId="65A3EEA3">
      <w:pPr>
        <w:pStyle w:val="90"/>
        <w:rPr>
          <w:color w:val="auto"/>
        </w:rPr>
      </w:pPr>
      <w:r>
        <w:rPr>
          <w:rFonts w:hint="eastAsia"/>
          <w:color w:val="auto"/>
        </w:rPr>
        <w:t>- 供货清单（</w:t>
      </w:r>
      <w:r>
        <w:rPr>
          <w:rFonts w:hint="eastAsia"/>
          <w:b/>
          <w:color w:val="auto"/>
        </w:rPr>
        <w:t>必须</w:t>
      </w:r>
      <w:r>
        <w:rPr>
          <w:rFonts w:hint="eastAsia"/>
          <w:color w:val="auto"/>
        </w:rPr>
        <w:t>列出阀门的规格、数量、计算扭矩、所选执行机构扭矩等）；</w:t>
      </w:r>
    </w:p>
    <w:p w14:paraId="6AB5B7B9">
      <w:pPr>
        <w:pStyle w:val="90"/>
        <w:rPr>
          <w:color w:val="auto"/>
        </w:rPr>
      </w:pPr>
      <w:r>
        <w:rPr>
          <w:rFonts w:hint="eastAsia"/>
          <w:color w:val="auto"/>
        </w:rPr>
        <w:t>- 执行机构和阀门由供货商整体性能保证，如果在阀门试验、现场调试、投用时，执行机构不能满足要求，则供货商需无条件免费更换同品牌产品；</w:t>
      </w:r>
    </w:p>
    <w:p w14:paraId="7D1B249E">
      <w:pPr>
        <w:pStyle w:val="90"/>
        <w:rPr>
          <w:color w:val="auto"/>
        </w:rPr>
      </w:pPr>
      <w:r>
        <w:rPr>
          <w:rFonts w:hint="eastAsia"/>
          <w:color w:val="auto"/>
        </w:rPr>
        <w:t>- 随机备件；</w:t>
      </w:r>
    </w:p>
    <w:p w14:paraId="3C9C6E63">
      <w:pPr>
        <w:pStyle w:val="90"/>
        <w:rPr>
          <w:color w:val="auto"/>
        </w:rPr>
      </w:pPr>
      <w:r>
        <w:rPr>
          <w:rFonts w:hint="eastAsia"/>
          <w:color w:val="auto"/>
        </w:rPr>
        <w:t>- 2年的备件清单（厂家推荐，单独报价）；</w:t>
      </w:r>
    </w:p>
    <w:p w14:paraId="246E0B05">
      <w:pPr>
        <w:pStyle w:val="90"/>
        <w:rPr>
          <w:color w:val="auto"/>
        </w:rPr>
      </w:pPr>
      <w:r>
        <w:rPr>
          <w:rFonts w:hint="eastAsia"/>
          <w:color w:val="auto"/>
        </w:rPr>
        <w:t>- 1份有维修和安装指南的操作手册。</w:t>
      </w:r>
    </w:p>
    <w:p w14:paraId="26D7C289">
      <w:pPr>
        <w:pStyle w:val="95"/>
        <w:numPr>
          <w:ilvl w:val="2"/>
          <w:numId w:val="4"/>
        </w:numPr>
      </w:pPr>
      <w:bookmarkStart w:id="178" w:name="_Toc18480"/>
      <w:r>
        <w:rPr>
          <w:rFonts w:hint="eastAsia"/>
        </w:rPr>
        <w:t>最终的文件</w:t>
      </w:r>
      <w:bookmarkEnd w:id="178"/>
    </w:p>
    <w:p w14:paraId="56D30085">
      <w:pPr>
        <w:pStyle w:val="90"/>
        <w:rPr>
          <w:color w:val="auto"/>
        </w:rPr>
      </w:pPr>
      <w:r>
        <w:rPr>
          <w:rFonts w:hint="eastAsia"/>
          <w:color w:val="auto"/>
        </w:rPr>
        <w:t>除非在合同中另有规定外，制造商</w:t>
      </w:r>
      <w:r>
        <w:rPr>
          <w:rFonts w:hint="eastAsia"/>
          <w:b/>
          <w:color w:val="auto"/>
        </w:rPr>
        <w:t>应</w:t>
      </w:r>
      <w:r>
        <w:rPr>
          <w:rFonts w:hint="eastAsia"/>
          <w:color w:val="auto"/>
        </w:rPr>
        <w:t>在通过审批之日起一周内提交给购方1份最后图纸、每种规格型号的10套中文操作手册及1套电子版中文操作手册。这些图纸</w:t>
      </w:r>
      <w:r>
        <w:rPr>
          <w:rFonts w:hint="eastAsia"/>
          <w:b/>
          <w:color w:val="auto"/>
        </w:rPr>
        <w:t>应</w:t>
      </w:r>
      <w:r>
        <w:rPr>
          <w:rFonts w:hint="eastAsia"/>
          <w:color w:val="auto"/>
        </w:rPr>
        <w:t>标注出购方的合同号和阀门制造的技术要求号码。</w:t>
      </w:r>
    </w:p>
    <w:p w14:paraId="0F8C12FE">
      <w:pPr>
        <w:pStyle w:val="95"/>
        <w:numPr>
          <w:ilvl w:val="2"/>
          <w:numId w:val="4"/>
        </w:numPr>
      </w:pPr>
      <w:bookmarkStart w:id="179" w:name="_Toc5777"/>
      <w:r>
        <w:rPr>
          <w:rFonts w:hint="eastAsia"/>
        </w:rPr>
        <w:t>证书</w:t>
      </w:r>
      <w:bookmarkEnd w:id="179"/>
    </w:p>
    <w:p w14:paraId="49DCE44D">
      <w:pPr>
        <w:pStyle w:val="90"/>
        <w:rPr>
          <w:color w:val="auto"/>
        </w:rPr>
      </w:pPr>
      <w:r>
        <w:rPr>
          <w:rFonts w:hint="eastAsia"/>
          <w:color w:val="auto"/>
        </w:rPr>
        <w:t>除非在合同中另有规定，制造商</w:t>
      </w:r>
      <w:r>
        <w:rPr>
          <w:rFonts w:hint="eastAsia"/>
          <w:b/>
          <w:color w:val="auto"/>
        </w:rPr>
        <w:t>应</w:t>
      </w:r>
      <w:r>
        <w:rPr>
          <w:rFonts w:hint="eastAsia"/>
          <w:color w:val="auto"/>
        </w:rPr>
        <w:t>签发下列文件的原件和</w:t>
      </w:r>
      <w:r>
        <w:rPr>
          <w:color w:val="auto"/>
        </w:rPr>
        <w:t>2</w:t>
      </w:r>
      <w:r>
        <w:rPr>
          <w:rFonts w:hint="eastAsia"/>
          <w:color w:val="auto"/>
        </w:rPr>
        <w:t>份复印件：</w:t>
      </w:r>
    </w:p>
    <w:p w14:paraId="6BAD7DEA">
      <w:pPr>
        <w:pStyle w:val="90"/>
        <w:rPr>
          <w:color w:val="auto"/>
        </w:rPr>
      </w:pPr>
      <w:r>
        <w:rPr>
          <w:color w:val="auto"/>
        </w:rPr>
        <w:t xml:space="preserve">- </w:t>
      </w:r>
      <w:r>
        <w:rPr>
          <w:rFonts w:hint="eastAsia"/>
          <w:color w:val="auto"/>
        </w:rPr>
        <w:t>质量保证书和产品合格证；</w:t>
      </w:r>
    </w:p>
    <w:p w14:paraId="11C24DA1">
      <w:pPr>
        <w:pStyle w:val="90"/>
        <w:rPr>
          <w:color w:val="auto"/>
        </w:rPr>
      </w:pPr>
      <w:r>
        <w:rPr>
          <w:color w:val="auto"/>
        </w:rPr>
        <w:t xml:space="preserve">- </w:t>
      </w:r>
      <w:r>
        <w:rPr>
          <w:rFonts w:hint="eastAsia"/>
          <w:color w:val="auto"/>
        </w:rPr>
        <w:t>对用于制造阀门的材料进行的机械测试和化学分析证书；</w:t>
      </w:r>
    </w:p>
    <w:p w14:paraId="1C6561A3">
      <w:pPr>
        <w:pStyle w:val="90"/>
        <w:rPr>
          <w:color w:val="auto"/>
        </w:rPr>
      </w:pPr>
      <w:r>
        <w:rPr>
          <w:color w:val="auto"/>
        </w:rPr>
        <w:t xml:space="preserve">- </w:t>
      </w:r>
      <w:r>
        <w:rPr>
          <w:rFonts w:hint="eastAsia"/>
          <w:color w:val="auto"/>
        </w:rPr>
        <w:t>Χ射线、γ射线、磁粉和超声波探伤检测报告；</w:t>
      </w:r>
    </w:p>
    <w:p w14:paraId="59C86889">
      <w:pPr>
        <w:pStyle w:val="90"/>
        <w:rPr>
          <w:color w:val="auto"/>
        </w:rPr>
      </w:pPr>
      <w:r>
        <w:rPr>
          <w:color w:val="auto"/>
        </w:rPr>
        <w:t xml:space="preserve">- </w:t>
      </w:r>
      <w:r>
        <w:rPr>
          <w:rFonts w:hint="eastAsia"/>
          <w:color w:val="auto"/>
        </w:rPr>
        <w:t>水压和气密性测试报告，包括每次测试的时间和压力；</w:t>
      </w:r>
    </w:p>
    <w:p w14:paraId="2A0B6384">
      <w:pPr>
        <w:pStyle w:val="90"/>
        <w:rPr>
          <w:color w:val="auto"/>
        </w:rPr>
      </w:pPr>
      <w:r>
        <w:rPr>
          <w:color w:val="auto"/>
        </w:rPr>
        <w:t xml:space="preserve">- </w:t>
      </w:r>
      <w:r>
        <w:rPr>
          <w:rFonts w:hint="eastAsia"/>
          <w:color w:val="auto"/>
        </w:rPr>
        <w:t>对阀门进行的其它任何测试报告；</w:t>
      </w:r>
    </w:p>
    <w:p w14:paraId="7EE31254">
      <w:pPr>
        <w:pStyle w:val="90"/>
        <w:rPr>
          <w:color w:val="auto"/>
        </w:rPr>
      </w:pPr>
      <w:r>
        <w:rPr>
          <w:rFonts w:hint="eastAsia"/>
          <w:color w:val="auto"/>
        </w:rPr>
        <w:t>所有的文件都</w:t>
      </w:r>
      <w:r>
        <w:rPr>
          <w:rFonts w:hint="eastAsia"/>
          <w:b/>
          <w:color w:val="auto"/>
        </w:rPr>
        <w:t>应</w:t>
      </w:r>
      <w:r>
        <w:rPr>
          <w:rFonts w:hint="eastAsia"/>
          <w:color w:val="auto"/>
        </w:rPr>
        <w:t>在阀门发货时提交给购方。</w:t>
      </w:r>
    </w:p>
    <w:p w14:paraId="72CEE8A1">
      <w:pPr>
        <w:pStyle w:val="92"/>
        <w:numPr>
          <w:ilvl w:val="1"/>
          <w:numId w:val="4"/>
        </w:numPr>
      </w:pPr>
      <w:r>
        <w:rPr>
          <w:rFonts w:hint="eastAsia"/>
        </w:rPr>
        <w:t>执行机构</w:t>
      </w:r>
    </w:p>
    <w:p w14:paraId="27328DC5">
      <w:pPr>
        <w:pStyle w:val="90"/>
        <w:rPr>
          <w:color w:val="auto"/>
        </w:rPr>
      </w:pPr>
      <w:r>
        <w:rPr>
          <w:rFonts w:hint="eastAsia"/>
          <w:color w:val="auto"/>
        </w:rPr>
        <w:t>在下订单后两周内，制造商</w:t>
      </w:r>
      <w:r>
        <w:rPr>
          <w:rFonts w:hint="eastAsia"/>
          <w:b/>
          <w:color w:val="auto"/>
        </w:rPr>
        <w:t>应</w:t>
      </w:r>
      <w:r>
        <w:rPr>
          <w:rFonts w:hint="eastAsia"/>
          <w:color w:val="auto"/>
        </w:rPr>
        <w:t>提供10份下列的图纸和文件，包括本技术要求所规定的所有检验和测试证书或记录。</w:t>
      </w:r>
    </w:p>
    <w:p w14:paraId="4232566D">
      <w:pPr>
        <w:pStyle w:val="90"/>
        <w:rPr>
          <w:color w:val="auto"/>
        </w:rPr>
      </w:pPr>
      <w:r>
        <w:rPr>
          <w:rFonts w:hint="eastAsia"/>
          <w:color w:val="auto"/>
        </w:rPr>
        <w:t>- 带有全部尺寸和设备重量的图纸（阀门和执行机构总成后的）；</w:t>
      </w:r>
    </w:p>
    <w:p w14:paraId="70916748">
      <w:pPr>
        <w:pStyle w:val="90"/>
        <w:rPr>
          <w:color w:val="auto"/>
        </w:rPr>
      </w:pPr>
      <w:r>
        <w:rPr>
          <w:rFonts w:hint="eastAsia"/>
          <w:color w:val="auto"/>
        </w:rPr>
        <w:t>- 设备操作技术手册；</w:t>
      </w:r>
    </w:p>
    <w:p w14:paraId="62EF0622">
      <w:pPr>
        <w:pStyle w:val="90"/>
        <w:rPr>
          <w:color w:val="auto"/>
        </w:rPr>
      </w:pPr>
      <w:r>
        <w:rPr>
          <w:rFonts w:hint="eastAsia"/>
          <w:color w:val="auto"/>
        </w:rPr>
        <w:t>- 电气原理图；</w:t>
      </w:r>
    </w:p>
    <w:p w14:paraId="62B05504">
      <w:pPr>
        <w:pStyle w:val="90"/>
        <w:rPr>
          <w:color w:val="auto"/>
        </w:rPr>
      </w:pPr>
      <w:r>
        <w:rPr>
          <w:rFonts w:hint="eastAsia"/>
          <w:color w:val="auto"/>
        </w:rPr>
        <w:t>- 电气机壳/封闭型式；</w:t>
      </w:r>
    </w:p>
    <w:p w14:paraId="5624782F">
      <w:pPr>
        <w:pStyle w:val="90"/>
        <w:rPr>
          <w:color w:val="auto"/>
        </w:rPr>
      </w:pPr>
      <w:r>
        <w:rPr>
          <w:rFonts w:hint="eastAsia"/>
          <w:color w:val="auto"/>
        </w:rPr>
        <w:t>- 电气主、控回路详图；</w:t>
      </w:r>
    </w:p>
    <w:p w14:paraId="544E927C">
      <w:pPr>
        <w:pStyle w:val="90"/>
        <w:rPr>
          <w:color w:val="auto"/>
        </w:rPr>
      </w:pPr>
      <w:r>
        <w:rPr>
          <w:rFonts w:hint="eastAsia"/>
          <w:color w:val="auto"/>
        </w:rPr>
        <w:t>- 电气元件数据表/备件要求；</w:t>
      </w:r>
    </w:p>
    <w:p w14:paraId="4B8EB42B">
      <w:pPr>
        <w:pStyle w:val="90"/>
        <w:rPr>
          <w:color w:val="auto"/>
        </w:rPr>
      </w:pPr>
      <w:r>
        <w:rPr>
          <w:rFonts w:hint="eastAsia"/>
          <w:color w:val="auto"/>
        </w:rPr>
        <w:t>- 操作和维修手册；</w:t>
      </w:r>
    </w:p>
    <w:p w14:paraId="142D881F">
      <w:pPr>
        <w:pStyle w:val="90"/>
        <w:rPr>
          <w:color w:val="auto"/>
        </w:rPr>
      </w:pPr>
      <w:r>
        <w:rPr>
          <w:rFonts w:hint="eastAsia"/>
          <w:color w:val="auto"/>
        </w:rPr>
        <w:t>- 其它要求的文件；</w:t>
      </w:r>
    </w:p>
    <w:p w14:paraId="29FE1354">
      <w:pPr>
        <w:pStyle w:val="90"/>
        <w:rPr>
          <w:color w:val="auto"/>
        </w:rPr>
      </w:pPr>
      <w:r>
        <w:rPr>
          <w:rFonts w:hint="eastAsia"/>
          <w:color w:val="auto"/>
        </w:rPr>
        <w:t>阀门制造商需要的包括用于组装、调试、包装和运输的有关文件数据。</w:t>
      </w:r>
    </w:p>
    <w:p w14:paraId="43E83312">
      <w:pPr>
        <w:pStyle w:val="90"/>
        <w:rPr>
          <w:color w:val="auto"/>
        </w:rPr>
      </w:pPr>
      <w:r>
        <w:rPr>
          <w:rFonts w:hint="eastAsia"/>
          <w:color w:val="auto"/>
        </w:rPr>
        <w:t>制造商</w:t>
      </w:r>
      <w:r>
        <w:rPr>
          <w:rFonts w:hint="eastAsia"/>
          <w:b/>
          <w:color w:val="auto"/>
        </w:rPr>
        <w:t>应</w:t>
      </w:r>
      <w:r>
        <w:rPr>
          <w:rFonts w:hint="eastAsia"/>
          <w:color w:val="auto"/>
        </w:rPr>
        <w:t>提交现场设定/校准执行机构扭矩开关的技术文件。</w:t>
      </w:r>
    </w:p>
    <w:p w14:paraId="740A50CE">
      <w:pPr>
        <w:pStyle w:val="90"/>
        <w:rPr>
          <w:color w:val="auto"/>
        </w:rPr>
      </w:pPr>
      <w:r>
        <w:rPr>
          <w:rFonts w:hint="eastAsia"/>
          <w:color w:val="auto"/>
        </w:rPr>
        <w:t>提供文件的要求列在“制造商的图纸和数据承诺表”中（见本技术规格书附件A）。</w:t>
      </w:r>
    </w:p>
    <w:p w14:paraId="3B11E8D3">
      <w:pPr>
        <w:pStyle w:val="94"/>
        <w:numPr>
          <w:ilvl w:val="0"/>
          <w:numId w:val="4"/>
        </w:numPr>
      </w:pPr>
      <w:bookmarkStart w:id="180" w:name="_Toc65"/>
      <w:bookmarkStart w:id="181" w:name="_Toc27638"/>
      <w:bookmarkStart w:id="182" w:name="_Toc31962"/>
      <w:bookmarkStart w:id="183" w:name="_Toc445800603"/>
      <w:bookmarkStart w:id="184" w:name="_Toc15214"/>
      <w:bookmarkStart w:id="185" w:name="_Toc12246"/>
      <w:bookmarkStart w:id="186" w:name="_Toc445864483"/>
      <w:bookmarkStart w:id="187" w:name="_Toc339469375"/>
      <w:bookmarkStart w:id="188" w:name="_Toc28927"/>
      <w:bookmarkStart w:id="189" w:name="_Toc7969"/>
      <w:bookmarkStart w:id="190" w:name="_Toc159"/>
      <w:bookmarkStart w:id="191" w:name="_Toc1038"/>
      <w:bookmarkStart w:id="192" w:name="_Toc4822"/>
      <w:bookmarkStart w:id="193" w:name="_Toc58226411"/>
      <w:bookmarkStart w:id="194" w:name="_Toc12033"/>
      <w:r>
        <w:rPr>
          <w:rFonts w:hint="eastAsia"/>
        </w:rPr>
        <w:t>保证和担保</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5D64919">
      <w:pPr>
        <w:pStyle w:val="90"/>
        <w:rPr>
          <w:color w:val="auto"/>
        </w:rPr>
      </w:pPr>
      <w:r>
        <w:rPr>
          <w:rFonts w:hint="eastAsia"/>
          <w:color w:val="auto"/>
        </w:rPr>
        <w:t>阀门和执行机构制造商均</w:t>
      </w:r>
      <w:r>
        <w:rPr>
          <w:rFonts w:hint="eastAsia"/>
          <w:b/>
          <w:color w:val="auto"/>
        </w:rPr>
        <w:t>应</w:t>
      </w:r>
      <w:r>
        <w:rPr>
          <w:rFonts w:hint="eastAsia"/>
          <w:color w:val="auto"/>
        </w:rPr>
        <w:t>对其供货范围内的所有事项进行担保，确保材料、设计和制造无缺陷，完全满足本技术规格书和合同的要求。</w:t>
      </w:r>
    </w:p>
    <w:p w14:paraId="652535AC">
      <w:pPr>
        <w:pStyle w:val="90"/>
        <w:rPr>
          <w:color w:val="auto"/>
        </w:rPr>
      </w:pPr>
      <w:r>
        <w:rPr>
          <w:rFonts w:hint="eastAsia"/>
          <w:color w:val="auto"/>
        </w:rPr>
        <w:t>执行机构和阀门由投标方整体性能保证，</w:t>
      </w:r>
      <w:r>
        <w:rPr>
          <w:rFonts w:hint="eastAsia"/>
          <w:b/>
          <w:color w:val="auto"/>
        </w:rPr>
        <w:t>必须</w:t>
      </w:r>
      <w:r>
        <w:rPr>
          <w:rFonts w:hint="eastAsia"/>
          <w:color w:val="auto"/>
        </w:rPr>
        <w:t>承诺：如果在阀门试验、现场调试、投用时，执行机构不能满足要求，则投标方需无条件免费更换同品牌产品。</w:t>
      </w:r>
    </w:p>
    <w:p w14:paraId="6B4CCF45">
      <w:pPr>
        <w:pStyle w:val="90"/>
        <w:rPr>
          <w:color w:val="auto"/>
        </w:rPr>
      </w:pPr>
      <w:r>
        <w:rPr>
          <w:rFonts w:hint="eastAsia"/>
          <w:color w:val="auto"/>
        </w:rPr>
        <w:t>质量保证期为货到现场18个月或自设备投运之日起的12个月，二者以先到期者为准。在质量保证期内，对于非购方责任引起的质量问题，供方（或供方协调各制造商）</w:t>
      </w:r>
      <w:r>
        <w:rPr>
          <w:rFonts w:hint="eastAsia"/>
          <w:b/>
          <w:color w:val="auto"/>
        </w:rPr>
        <w:t>应</w:t>
      </w:r>
      <w:r>
        <w:rPr>
          <w:rFonts w:hint="eastAsia"/>
          <w:color w:val="auto"/>
        </w:rPr>
        <w:t>免费为购方维修和维护，并免费提供维护和维修必须的配件；超过保证期后发生的质量问题，也</w:t>
      </w:r>
      <w:r>
        <w:rPr>
          <w:rFonts w:hint="eastAsia"/>
          <w:b/>
          <w:color w:val="auto"/>
        </w:rPr>
        <w:t>应</w:t>
      </w:r>
      <w:r>
        <w:rPr>
          <w:rFonts w:hint="eastAsia"/>
          <w:color w:val="auto"/>
        </w:rPr>
        <w:t>给予及时维修或供应配件。</w:t>
      </w:r>
    </w:p>
    <w:p w14:paraId="0843A787">
      <w:pPr>
        <w:pStyle w:val="90"/>
        <w:rPr>
          <w:color w:val="auto"/>
        </w:rPr>
      </w:pPr>
      <w:r>
        <w:rPr>
          <w:rFonts w:hint="eastAsia"/>
          <w:color w:val="auto"/>
        </w:rPr>
        <w:t>各制造商售后服务的响应时间为24小时，并根据业主要求，保证48小时内到达现场进行处理。</w:t>
      </w:r>
    </w:p>
    <w:p w14:paraId="26112BCB">
      <w:pPr>
        <w:pStyle w:val="90"/>
        <w:rPr>
          <w:color w:val="auto"/>
        </w:rPr>
      </w:pPr>
      <w:r>
        <w:rPr>
          <w:rFonts w:hint="eastAsia"/>
          <w:color w:val="auto"/>
        </w:rPr>
        <w:t>制造商</w:t>
      </w:r>
      <w:r>
        <w:rPr>
          <w:rFonts w:hint="eastAsia"/>
          <w:b/>
          <w:color w:val="auto"/>
        </w:rPr>
        <w:t>应</w:t>
      </w:r>
      <w:r>
        <w:rPr>
          <w:rFonts w:hint="eastAsia"/>
          <w:color w:val="auto"/>
        </w:rPr>
        <w:t>负责对购方技术人员进行技术培训及现场操作技术培训，供货商在标书中提出培训时间与培训计划。</w:t>
      </w:r>
    </w:p>
    <w:p w14:paraId="11564224">
      <w:pPr>
        <w:pStyle w:val="90"/>
        <w:rPr>
          <w:color w:val="auto"/>
        </w:rPr>
      </w:pPr>
      <w:r>
        <w:rPr>
          <w:rFonts w:hint="eastAsia"/>
          <w:color w:val="auto"/>
        </w:rPr>
        <w:t>制造商购自第3方的产品</w:t>
      </w:r>
      <w:r>
        <w:rPr>
          <w:rFonts w:hint="eastAsia"/>
          <w:b/>
          <w:color w:val="auto"/>
        </w:rPr>
        <w:t>应</w:t>
      </w:r>
      <w:r>
        <w:rPr>
          <w:rFonts w:hint="eastAsia"/>
          <w:color w:val="auto"/>
        </w:rPr>
        <w:t>由购方批准。</w:t>
      </w:r>
    </w:p>
    <w:p w14:paraId="61EE1354">
      <w:pPr>
        <w:pStyle w:val="90"/>
        <w:rPr>
          <w:color w:val="auto"/>
        </w:rPr>
      </w:pPr>
      <w:r>
        <w:rPr>
          <w:rFonts w:hint="eastAsia"/>
          <w:color w:val="auto"/>
        </w:rPr>
        <w:t>如果整套设备的全部或部分不满足担保要求，制造商</w:t>
      </w:r>
      <w:r>
        <w:rPr>
          <w:rFonts w:hint="eastAsia"/>
          <w:b/>
          <w:color w:val="auto"/>
        </w:rPr>
        <w:t>应</w:t>
      </w:r>
      <w:r>
        <w:rPr>
          <w:rFonts w:hint="eastAsia"/>
          <w:color w:val="auto"/>
        </w:rPr>
        <w:t>立即对设计中的缺陷进行修改、补救，改进或更换设备，直到设备满足规定的条件为止。</w:t>
      </w:r>
    </w:p>
    <w:p w14:paraId="46698DFB">
      <w:pPr>
        <w:pStyle w:val="90"/>
        <w:rPr>
          <w:color w:val="auto"/>
        </w:rPr>
      </w:pPr>
      <w:r>
        <w:rPr>
          <w:rFonts w:hint="eastAsia"/>
          <w:color w:val="auto"/>
        </w:rPr>
        <w:t>制造商</w:t>
      </w:r>
      <w:r>
        <w:rPr>
          <w:rFonts w:hint="eastAsia"/>
          <w:b/>
          <w:color w:val="auto"/>
        </w:rPr>
        <w:t>应</w:t>
      </w:r>
      <w:r>
        <w:rPr>
          <w:rFonts w:hint="eastAsia"/>
          <w:color w:val="auto"/>
        </w:rPr>
        <w:t>以书面文件阐述所有特殊（非一致性）条件。所有非一致性条件</w:t>
      </w:r>
      <w:r>
        <w:rPr>
          <w:rFonts w:hint="eastAsia"/>
          <w:b/>
          <w:color w:val="auto"/>
        </w:rPr>
        <w:t>应</w:t>
      </w:r>
      <w:r>
        <w:rPr>
          <w:rFonts w:hint="eastAsia"/>
          <w:color w:val="auto"/>
        </w:rPr>
        <w:t>可处理，“维修”和“照常使用”</w:t>
      </w:r>
      <w:r>
        <w:rPr>
          <w:rFonts w:hint="eastAsia"/>
          <w:b/>
          <w:color w:val="auto"/>
        </w:rPr>
        <w:t>应</w:t>
      </w:r>
      <w:r>
        <w:rPr>
          <w:rFonts w:hint="eastAsia"/>
          <w:color w:val="auto"/>
        </w:rPr>
        <w:t>经购方核准。</w:t>
      </w:r>
    </w:p>
    <w:p w14:paraId="2EB41627">
      <w:pPr>
        <w:pStyle w:val="94"/>
        <w:numPr>
          <w:ilvl w:val="0"/>
          <w:numId w:val="4"/>
        </w:numPr>
      </w:pPr>
      <w:bookmarkStart w:id="195" w:name="_Toc27012"/>
      <w:bookmarkStart w:id="196" w:name="_Toc30746"/>
      <w:bookmarkStart w:id="197" w:name="_Toc58226412"/>
      <w:bookmarkStart w:id="198" w:name="_Toc11609"/>
      <w:bookmarkStart w:id="199" w:name="_Toc13808"/>
      <w:bookmarkStart w:id="200" w:name="_Toc339469376"/>
      <w:bookmarkStart w:id="201" w:name="_Toc14303"/>
      <w:bookmarkStart w:id="202" w:name="_Toc6470"/>
      <w:bookmarkStart w:id="203" w:name="_Toc23644"/>
      <w:bookmarkStart w:id="204" w:name="_Toc12024"/>
      <w:bookmarkStart w:id="205" w:name="_Toc8277"/>
      <w:bookmarkStart w:id="206" w:name="_Toc19528"/>
      <w:bookmarkStart w:id="207" w:name="_Toc2478"/>
      <w:r>
        <w:rPr>
          <w:rFonts w:hint="eastAsia"/>
        </w:rPr>
        <w:t>相关技术要求</w:t>
      </w:r>
      <w:bookmarkEnd w:id="195"/>
      <w:bookmarkEnd w:id="196"/>
      <w:bookmarkEnd w:id="197"/>
      <w:bookmarkEnd w:id="198"/>
      <w:bookmarkEnd w:id="199"/>
      <w:bookmarkEnd w:id="200"/>
      <w:bookmarkEnd w:id="201"/>
      <w:bookmarkEnd w:id="202"/>
      <w:bookmarkEnd w:id="203"/>
      <w:bookmarkEnd w:id="204"/>
      <w:bookmarkEnd w:id="205"/>
      <w:bookmarkEnd w:id="206"/>
      <w:bookmarkEnd w:id="207"/>
    </w:p>
    <w:p w14:paraId="1CADE2FA">
      <w:pPr>
        <w:pStyle w:val="90"/>
        <w:rPr>
          <w:color w:val="auto"/>
        </w:rPr>
      </w:pPr>
      <w:r>
        <w:rPr>
          <w:rFonts w:hint="eastAsia"/>
          <w:color w:val="auto"/>
        </w:rPr>
        <w:t>相关技术要求见电动平板闸阀阀门规格表。</w:t>
      </w:r>
    </w:p>
    <w:p w14:paraId="0A026AD3">
      <w:pPr>
        <w:tabs>
          <w:tab w:val="left" w:pos="425"/>
          <w:tab w:val="left" w:pos="567"/>
        </w:tabs>
        <w:suppressAutoHyphens/>
        <w:spacing w:line="360" w:lineRule="auto"/>
        <w:ind w:firstLine="500" w:firstLineChars="200"/>
        <w:rPr>
          <w:rFonts w:ascii="宋体" w:hAnsi="宋体"/>
          <w:spacing w:val="20"/>
        </w:rPr>
      </w:pPr>
    </w:p>
    <w:p w14:paraId="19E33401">
      <w:pPr>
        <w:tabs>
          <w:tab w:val="left" w:pos="425"/>
          <w:tab w:val="left" w:pos="567"/>
        </w:tabs>
        <w:suppressAutoHyphens/>
        <w:spacing w:line="360" w:lineRule="auto"/>
        <w:ind w:firstLine="500" w:firstLineChars="200"/>
        <w:rPr>
          <w:rFonts w:ascii="宋体" w:hAnsi="宋体"/>
          <w:spacing w:val="20"/>
        </w:rPr>
        <w:sectPr>
          <w:headerReference r:id="rId11" w:type="first"/>
          <w:headerReference r:id="rId9" w:type="default"/>
          <w:headerReference r:id="rId10" w:type="even"/>
          <w:pgSz w:w="11906" w:h="16838"/>
          <w:pgMar w:top="1247" w:right="1531" w:bottom="1247" w:left="1531" w:header="779" w:footer="752" w:gutter="0"/>
          <w:pgNumType w:start="1"/>
          <w:cols w:space="720" w:num="1"/>
          <w:titlePg/>
          <w:docGrid w:type="linesAndChars" w:linePitch="312" w:charSpace="0"/>
        </w:sectPr>
      </w:pPr>
    </w:p>
    <w:tbl>
      <w:tblPr>
        <w:tblStyle w:val="3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360"/>
        <w:gridCol w:w="795"/>
        <w:gridCol w:w="945"/>
        <w:gridCol w:w="105"/>
        <w:gridCol w:w="630"/>
        <w:gridCol w:w="45"/>
        <w:gridCol w:w="360"/>
        <w:gridCol w:w="540"/>
        <w:gridCol w:w="420"/>
        <w:gridCol w:w="525"/>
        <w:gridCol w:w="840"/>
        <w:gridCol w:w="945"/>
      </w:tblGrid>
      <w:tr w14:paraId="6A56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33" w:type="dxa"/>
            <w:gridSpan w:val="5"/>
            <w:vMerge w:val="restart"/>
            <w:tcBorders>
              <w:top w:val="nil"/>
              <w:left w:val="nil"/>
              <w:bottom w:val="nil"/>
              <w:right w:val="nil"/>
            </w:tcBorders>
            <w:vAlign w:val="center"/>
          </w:tcPr>
          <w:p w14:paraId="7A7E3476">
            <w:pPr>
              <w:jc w:val="center"/>
              <w:rPr>
                <w:szCs w:val="21"/>
              </w:rPr>
            </w:pPr>
            <w:r>
              <w:rPr>
                <w:rFonts w:ascii="宋体" w:cs="宋体"/>
                <w:szCs w:val="21"/>
              </w:rPr>
              <w:br w:type="page"/>
            </w:r>
            <w:r>
              <w:rPr>
                <w:rFonts w:hint="eastAsia"/>
                <w:b/>
                <w:szCs w:val="21"/>
              </w:rPr>
              <w:t>执行机构附表</w:t>
            </w:r>
            <w:r>
              <w:rPr>
                <w:b/>
                <w:szCs w:val="21"/>
              </w:rPr>
              <w:t xml:space="preserve">   A</w:t>
            </w:r>
          </w:p>
        </w:tc>
        <w:tc>
          <w:tcPr>
            <w:tcW w:w="1995" w:type="dxa"/>
            <w:gridSpan w:val="5"/>
            <w:tcBorders>
              <w:top w:val="nil"/>
              <w:left w:val="nil"/>
              <w:bottom w:val="nil"/>
              <w:right w:val="nil"/>
            </w:tcBorders>
            <w:vAlign w:val="center"/>
          </w:tcPr>
          <w:p w14:paraId="55EACCB0">
            <w:pPr>
              <w:jc w:val="right"/>
              <w:rPr>
                <w:szCs w:val="21"/>
              </w:rPr>
            </w:pPr>
          </w:p>
        </w:tc>
        <w:tc>
          <w:tcPr>
            <w:tcW w:w="2310" w:type="dxa"/>
            <w:gridSpan w:val="3"/>
            <w:tcBorders>
              <w:top w:val="nil"/>
              <w:left w:val="nil"/>
              <w:bottom w:val="nil"/>
              <w:right w:val="nil"/>
            </w:tcBorders>
            <w:vAlign w:val="center"/>
          </w:tcPr>
          <w:p w14:paraId="15D3F767">
            <w:pPr>
              <w:jc w:val="center"/>
              <w:rPr>
                <w:szCs w:val="21"/>
              </w:rPr>
            </w:pPr>
          </w:p>
        </w:tc>
      </w:tr>
      <w:tr w14:paraId="40ED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33" w:type="dxa"/>
            <w:gridSpan w:val="5"/>
            <w:vMerge w:val="continue"/>
            <w:tcBorders>
              <w:top w:val="nil"/>
              <w:left w:val="nil"/>
              <w:bottom w:val="nil"/>
              <w:right w:val="nil"/>
            </w:tcBorders>
          </w:tcPr>
          <w:p w14:paraId="2137E47B">
            <w:pPr>
              <w:jc w:val="center"/>
              <w:rPr>
                <w:b/>
                <w:szCs w:val="21"/>
              </w:rPr>
            </w:pPr>
          </w:p>
        </w:tc>
        <w:tc>
          <w:tcPr>
            <w:tcW w:w="1995" w:type="dxa"/>
            <w:gridSpan w:val="5"/>
            <w:tcBorders>
              <w:top w:val="nil"/>
              <w:left w:val="nil"/>
              <w:bottom w:val="nil"/>
              <w:right w:val="nil"/>
            </w:tcBorders>
            <w:vAlign w:val="center"/>
          </w:tcPr>
          <w:p w14:paraId="1A4F11C9">
            <w:pPr>
              <w:jc w:val="right"/>
              <w:rPr>
                <w:szCs w:val="21"/>
              </w:rPr>
            </w:pPr>
          </w:p>
        </w:tc>
        <w:tc>
          <w:tcPr>
            <w:tcW w:w="2310" w:type="dxa"/>
            <w:gridSpan w:val="3"/>
            <w:tcBorders>
              <w:top w:val="nil"/>
              <w:left w:val="nil"/>
              <w:bottom w:val="nil"/>
              <w:right w:val="nil"/>
            </w:tcBorders>
            <w:vAlign w:val="center"/>
          </w:tcPr>
          <w:p w14:paraId="5DE94BC0">
            <w:pPr>
              <w:jc w:val="center"/>
              <w:rPr>
                <w:szCs w:val="21"/>
              </w:rPr>
            </w:pPr>
          </w:p>
        </w:tc>
      </w:tr>
      <w:tr w14:paraId="79F6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Borders>
              <w:top w:val="single" w:color="auto" w:sz="4" w:space="0"/>
            </w:tcBorders>
            <w:vAlign w:val="center"/>
          </w:tcPr>
          <w:p w14:paraId="65A738DD">
            <w:pPr>
              <w:rPr>
                <w:sz w:val="18"/>
              </w:rPr>
            </w:pPr>
            <w:r>
              <w:rPr>
                <w:rFonts w:hint="eastAsia"/>
                <w:sz w:val="18"/>
              </w:rPr>
              <w:t>申请书编号：</w:t>
            </w:r>
            <w:r>
              <w:rPr>
                <w:sz w:val="18"/>
                <w:u w:val="single"/>
              </w:rPr>
              <w:t xml:space="preserve">                                           </w:t>
            </w:r>
          </w:p>
          <w:p w14:paraId="539F8750">
            <w:pPr>
              <w:rPr>
                <w:sz w:val="18"/>
                <w:u w:val="single"/>
              </w:rPr>
            </w:pPr>
            <w:r>
              <w:rPr>
                <w:rFonts w:hint="eastAsia"/>
                <w:sz w:val="18"/>
              </w:rPr>
              <w:t>申请说明：</w:t>
            </w:r>
            <w:r>
              <w:rPr>
                <w:sz w:val="18"/>
              </w:rPr>
              <w:t xml:space="preserve">  </w:t>
            </w:r>
            <w:r>
              <w:rPr>
                <w:rFonts w:hint="eastAsia"/>
                <w:sz w:val="18"/>
                <w:u w:val="single"/>
              </w:rPr>
              <w:t>电动执行机构</w:t>
            </w:r>
            <w:r>
              <w:rPr>
                <w:sz w:val="18"/>
                <w:u w:val="single"/>
              </w:rPr>
              <w:t xml:space="preserve">                               </w:t>
            </w:r>
          </w:p>
          <w:p w14:paraId="6A346AF4">
            <w:pPr>
              <w:rPr>
                <w:sz w:val="18"/>
              </w:rPr>
            </w:pPr>
            <w:r>
              <w:rPr>
                <w:rFonts w:hint="eastAsia"/>
                <w:sz w:val="18"/>
              </w:rPr>
              <w:t>项目号：</w:t>
            </w:r>
            <w:r>
              <w:rPr>
                <w:sz w:val="18"/>
              </w:rPr>
              <w:t xml:space="preserve">    </w:t>
            </w:r>
            <w:r>
              <w:rPr>
                <w:rFonts w:hint="eastAsia"/>
                <w:sz w:val="18"/>
                <w:u w:val="single"/>
              </w:rPr>
              <w:t>全部</w:t>
            </w:r>
            <w:r>
              <w:rPr>
                <w:sz w:val="18"/>
                <w:u w:val="single"/>
              </w:rPr>
              <w:t xml:space="preserve">                                       </w:t>
            </w:r>
          </w:p>
        </w:tc>
        <w:tc>
          <w:tcPr>
            <w:tcW w:w="3675" w:type="dxa"/>
            <w:gridSpan w:val="7"/>
            <w:tcBorders>
              <w:top w:val="single" w:color="auto" w:sz="4" w:space="0"/>
            </w:tcBorders>
            <w:vAlign w:val="center"/>
          </w:tcPr>
          <w:p w14:paraId="060C3E33">
            <w:pPr>
              <w:jc w:val="center"/>
              <w:rPr>
                <w:b/>
                <w:sz w:val="28"/>
              </w:rPr>
            </w:pPr>
            <w:r>
              <w:rPr>
                <w:rFonts w:hint="eastAsia"/>
                <w:b/>
                <w:sz w:val="28"/>
              </w:rPr>
              <w:t>制造商的图纸及</w:t>
            </w:r>
          </w:p>
          <w:p w14:paraId="5AFCA670">
            <w:pPr>
              <w:jc w:val="center"/>
              <w:rPr>
                <w:sz w:val="28"/>
              </w:rPr>
            </w:pPr>
            <w:r>
              <w:rPr>
                <w:rFonts w:hint="eastAsia"/>
                <w:b/>
                <w:sz w:val="28"/>
              </w:rPr>
              <w:t>数据资料保证单</w:t>
            </w:r>
          </w:p>
        </w:tc>
      </w:tr>
      <w:tr w14:paraId="4111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vMerge w:val="restart"/>
            <w:tcBorders>
              <w:bottom w:val="nil"/>
            </w:tcBorders>
            <w:vAlign w:val="center"/>
          </w:tcPr>
          <w:p w14:paraId="60D1D927">
            <w:pPr>
              <w:rPr>
                <w:sz w:val="18"/>
              </w:rPr>
            </w:pPr>
            <w:r>
              <w:rPr>
                <w:rFonts w:hint="eastAsia"/>
                <w:sz w:val="18"/>
              </w:rPr>
              <w:t>制造商应和报价单一起提交本保证清单。</w:t>
            </w:r>
          </w:p>
          <w:p w14:paraId="4A5E1FC4">
            <w:pPr>
              <w:rPr>
                <w:sz w:val="18"/>
              </w:rPr>
            </w:pPr>
            <w:r>
              <w:rPr>
                <w:rFonts w:hint="eastAsia"/>
                <w:sz w:val="18"/>
              </w:rPr>
              <w:t>表格专栏后的天数应按照指定项目“</w:t>
            </w:r>
            <w:r>
              <w:rPr>
                <w:sz w:val="18"/>
              </w:rPr>
              <w:t>X</w:t>
            </w:r>
            <w:r>
              <w:rPr>
                <w:rFonts w:hint="eastAsia"/>
                <w:sz w:val="18"/>
              </w:rPr>
              <w:t>”填</w:t>
            </w:r>
          </w:p>
        </w:tc>
        <w:tc>
          <w:tcPr>
            <w:tcW w:w="1680" w:type="dxa"/>
            <w:gridSpan w:val="3"/>
            <w:vAlign w:val="center"/>
          </w:tcPr>
          <w:p w14:paraId="0C25283D">
            <w:pPr>
              <w:jc w:val="center"/>
              <w:rPr>
                <w:sz w:val="18"/>
              </w:rPr>
            </w:pPr>
            <w:r>
              <w:rPr>
                <w:rFonts w:hint="eastAsia"/>
                <w:sz w:val="18"/>
              </w:rPr>
              <w:t>报价所包括的</w:t>
            </w:r>
          </w:p>
        </w:tc>
        <w:tc>
          <w:tcPr>
            <w:tcW w:w="1890" w:type="dxa"/>
            <w:gridSpan w:val="5"/>
            <w:vAlign w:val="center"/>
          </w:tcPr>
          <w:p w14:paraId="1F6A1E73">
            <w:pPr>
              <w:jc w:val="center"/>
              <w:rPr>
                <w:sz w:val="18"/>
              </w:rPr>
            </w:pPr>
            <w:r>
              <w:rPr>
                <w:rFonts w:hint="eastAsia"/>
                <w:sz w:val="18"/>
              </w:rPr>
              <w:t>提交审批</w:t>
            </w:r>
          </w:p>
        </w:tc>
        <w:tc>
          <w:tcPr>
            <w:tcW w:w="1785" w:type="dxa"/>
            <w:gridSpan w:val="2"/>
          </w:tcPr>
          <w:p w14:paraId="119AD370">
            <w:pPr>
              <w:jc w:val="center"/>
              <w:rPr>
                <w:sz w:val="18"/>
              </w:rPr>
            </w:pPr>
            <w:r>
              <w:rPr>
                <w:rFonts w:hint="eastAsia"/>
                <w:sz w:val="18"/>
              </w:rPr>
              <w:t>最后审批验证</w:t>
            </w:r>
          </w:p>
        </w:tc>
      </w:tr>
      <w:tr w14:paraId="1E59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vMerge w:val="continue"/>
          </w:tcPr>
          <w:p w14:paraId="458C52C0">
            <w:pPr>
              <w:rPr>
                <w:sz w:val="18"/>
              </w:rPr>
            </w:pPr>
          </w:p>
        </w:tc>
        <w:tc>
          <w:tcPr>
            <w:tcW w:w="945" w:type="dxa"/>
            <w:tcBorders>
              <w:bottom w:val="nil"/>
            </w:tcBorders>
            <w:vAlign w:val="center"/>
          </w:tcPr>
          <w:p w14:paraId="06853693">
            <w:pPr>
              <w:jc w:val="center"/>
              <w:rPr>
                <w:sz w:val="18"/>
              </w:rPr>
            </w:pPr>
            <w:r>
              <w:rPr>
                <w:rFonts w:hint="eastAsia"/>
                <w:sz w:val="18"/>
              </w:rPr>
              <w:t>要求审查的资料</w:t>
            </w:r>
          </w:p>
        </w:tc>
        <w:tc>
          <w:tcPr>
            <w:tcW w:w="735" w:type="dxa"/>
            <w:gridSpan w:val="2"/>
            <w:tcBorders>
              <w:bottom w:val="nil"/>
            </w:tcBorders>
          </w:tcPr>
          <w:p w14:paraId="4D833523">
            <w:pPr>
              <w:jc w:val="center"/>
              <w:rPr>
                <w:sz w:val="18"/>
              </w:rPr>
            </w:pPr>
          </w:p>
        </w:tc>
        <w:tc>
          <w:tcPr>
            <w:tcW w:w="945" w:type="dxa"/>
            <w:gridSpan w:val="3"/>
            <w:tcBorders>
              <w:bottom w:val="nil"/>
            </w:tcBorders>
            <w:vAlign w:val="center"/>
          </w:tcPr>
          <w:p w14:paraId="5CD966A0">
            <w:pPr>
              <w:jc w:val="center"/>
              <w:rPr>
                <w:sz w:val="18"/>
              </w:rPr>
            </w:pPr>
            <w:r>
              <w:rPr>
                <w:rFonts w:hint="eastAsia"/>
                <w:sz w:val="18"/>
              </w:rPr>
              <w:t>要求审查的资料</w:t>
            </w:r>
          </w:p>
        </w:tc>
        <w:tc>
          <w:tcPr>
            <w:tcW w:w="945" w:type="dxa"/>
            <w:gridSpan w:val="2"/>
            <w:tcBorders>
              <w:bottom w:val="nil"/>
            </w:tcBorders>
            <w:vAlign w:val="center"/>
          </w:tcPr>
          <w:p w14:paraId="3BA8D619">
            <w:pPr>
              <w:jc w:val="center"/>
              <w:rPr>
                <w:sz w:val="18"/>
                <w:szCs w:val="18"/>
              </w:rPr>
            </w:pPr>
            <w:r>
              <w:rPr>
                <w:rFonts w:hint="eastAsia"/>
                <w:sz w:val="18"/>
                <w:szCs w:val="18"/>
              </w:rPr>
              <w:t>在收到订单后的天数</w:t>
            </w:r>
          </w:p>
        </w:tc>
        <w:tc>
          <w:tcPr>
            <w:tcW w:w="840" w:type="dxa"/>
            <w:tcBorders>
              <w:bottom w:val="nil"/>
            </w:tcBorders>
            <w:vAlign w:val="center"/>
          </w:tcPr>
          <w:p w14:paraId="75BE383C">
            <w:pPr>
              <w:jc w:val="center"/>
              <w:rPr>
                <w:sz w:val="18"/>
                <w:szCs w:val="18"/>
              </w:rPr>
            </w:pPr>
            <w:r>
              <w:rPr>
                <w:rFonts w:hint="eastAsia"/>
                <w:sz w:val="18"/>
                <w:szCs w:val="18"/>
              </w:rPr>
              <w:t>要求审查的资料</w:t>
            </w:r>
          </w:p>
        </w:tc>
        <w:tc>
          <w:tcPr>
            <w:tcW w:w="945" w:type="dxa"/>
            <w:tcBorders>
              <w:bottom w:val="nil"/>
            </w:tcBorders>
          </w:tcPr>
          <w:p w14:paraId="7858706B">
            <w:pPr>
              <w:jc w:val="center"/>
              <w:rPr>
                <w:sz w:val="18"/>
                <w:szCs w:val="18"/>
              </w:rPr>
            </w:pPr>
            <w:r>
              <w:rPr>
                <w:rFonts w:hint="eastAsia"/>
                <w:sz w:val="18"/>
                <w:szCs w:val="18"/>
              </w:rPr>
              <w:t>图纸审批返回后的天数</w:t>
            </w:r>
          </w:p>
        </w:tc>
      </w:tr>
      <w:tr w14:paraId="64EDE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Pr>
          <w:p w14:paraId="1FC5075D">
            <w:pPr>
              <w:rPr>
                <w:sz w:val="18"/>
              </w:rPr>
            </w:pPr>
            <w:r>
              <w:rPr>
                <w:rFonts w:hint="eastAsia"/>
                <w:sz w:val="18"/>
              </w:rPr>
              <w:t>说明</w:t>
            </w:r>
          </w:p>
        </w:tc>
        <w:tc>
          <w:tcPr>
            <w:tcW w:w="945" w:type="dxa"/>
            <w:tcBorders>
              <w:bottom w:val="nil"/>
            </w:tcBorders>
            <w:vAlign w:val="center"/>
          </w:tcPr>
          <w:p w14:paraId="13071E30">
            <w:pPr>
              <w:jc w:val="center"/>
              <w:rPr>
                <w:sz w:val="18"/>
              </w:rPr>
            </w:pPr>
            <w:r>
              <w:rPr>
                <w:sz w:val="18"/>
              </w:rPr>
              <w:t>X</w:t>
            </w:r>
          </w:p>
        </w:tc>
        <w:tc>
          <w:tcPr>
            <w:tcW w:w="735" w:type="dxa"/>
            <w:gridSpan w:val="2"/>
            <w:tcBorders>
              <w:bottom w:val="nil"/>
            </w:tcBorders>
            <w:vAlign w:val="center"/>
          </w:tcPr>
          <w:p w14:paraId="7286C56D">
            <w:pPr>
              <w:jc w:val="center"/>
              <w:rPr>
                <w:sz w:val="18"/>
              </w:rPr>
            </w:pPr>
          </w:p>
        </w:tc>
        <w:tc>
          <w:tcPr>
            <w:tcW w:w="945" w:type="dxa"/>
            <w:gridSpan w:val="3"/>
            <w:tcBorders>
              <w:bottom w:val="nil"/>
            </w:tcBorders>
            <w:vAlign w:val="center"/>
          </w:tcPr>
          <w:p w14:paraId="741B81CC">
            <w:pPr>
              <w:jc w:val="center"/>
              <w:rPr>
                <w:sz w:val="18"/>
              </w:rPr>
            </w:pPr>
          </w:p>
        </w:tc>
        <w:tc>
          <w:tcPr>
            <w:tcW w:w="945" w:type="dxa"/>
            <w:gridSpan w:val="2"/>
            <w:tcBorders>
              <w:bottom w:val="nil"/>
            </w:tcBorders>
            <w:vAlign w:val="center"/>
          </w:tcPr>
          <w:p w14:paraId="063A88A2">
            <w:pPr>
              <w:jc w:val="center"/>
              <w:rPr>
                <w:sz w:val="18"/>
              </w:rPr>
            </w:pPr>
          </w:p>
        </w:tc>
        <w:tc>
          <w:tcPr>
            <w:tcW w:w="840" w:type="dxa"/>
            <w:tcBorders>
              <w:bottom w:val="nil"/>
            </w:tcBorders>
            <w:vAlign w:val="center"/>
          </w:tcPr>
          <w:p w14:paraId="3D4AC492">
            <w:pPr>
              <w:jc w:val="center"/>
              <w:rPr>
                <w:sz w:val="18"/>
              </w:rPr>
            </w:pPr>
          </w:p>
        </w:tc>
        <w:tc>
          <w:tcPr>
            <w:tcW w:w="945" w:type="dxa"/>
            <w:tcBorders>
              <w:bottom w:val="nil"/>
            </w:tcBorders>
            <w:vAlign w:val="center"/>
          </w:tcPr>
          <w:p w14:paraId="693A558D">
            <w:pPr>
              <w:jc w:val="center"/>
              <w:rPr>
                <w:sz w:val="18"/>
              </w:rPr>
            </w:pPr>
          </w:p>
        </w:tc>
      </w:tr>
      <w:tr w14:paraId="07DC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Pr>
          <w:p w14:paraId="60B8A0AC">
            <w:pPr>
              <w:rPr>
                <w:sz w:val="18"/>
              </w:rPr>
            </w:pPr>
            <w:r>
              <w:rPr>
                <w:rFonts w:hint="eastAsia"/>
                <w:sz w:val="18"/>
              </w:rPr>
              <w:t>材料技术规格书</w:t>
            </w:r>
          </w:p>
        </w:tc>
        <w:tc>
          <w:tcPr>
            <w:tcW w:w="945" w:type="dxa"/>
            <w:tcBorders>
              <w:bottom w:val="nil"/>
            </w:tcBorders>
            <w:vAlign w:val="center"/>
          </w:tcPr>
          <w:p w14:paraId="66FE1644">
            <w:pPr>
              <w:jc w:val="center"/>
              <w:rPr>
                <w:sz w:val="18"/>
              </w:rPr>
            </w:pPr>
            <w:r>
              <w:rPr>
                <w:sz w:val="18"/>
              </w:rPr>
              <w:t>X</w:t>
            </w:r>
          </w:p>
        </w:tc>
        <w:tc>
          <w:tcPr>
            <w:tcW w:w="735" w:type="dxa"/>
            <w:gridSpan w:val="2"/>
            <w:tcBorders>
              <w:bottom w:val="nil"/>
            </w:tcBorders>
            <w:vAlign w:val="center"/>
          </w:tcPr>
          <w:p w14:paraId="24CEFC16">
            <w:pPr>
              <w:jc w:val="center"/>
              <w:rPr>
                <w:sz w:val="18"/>
              </w:rPr>
            </w:pPr>
          </w:p>
        </w:tc>
        <w:tc>
          <w:tcPr>
            <w:tcW w:w="945" w:type="dxa"/>
            <w:gridSpan w:val="3"/>
            <w:tcBorders>
              <w:bottom w:val="nil"/>
            </w:tcBorders>
            <w:vAlign w:val="center"/>
          </w:tcPr>
          <w:p w14:paraId="34F4DBAC">
            <w:pPr>
              <w:jc w:val="center"/>
              <w:rPr>
                <w:sz w:val="18"/>
                <w:szCs w:val="18"/>
              </w:rPr>
            </w:pPr>
            <w:r>
              <w:rPr>
                <w:sz w:val="18"/>
                <w:szCs w:val="18"/>
              </w:rPr>
              <w:t>X</w:t>
            </w:r>
          </w:p>
        </w:tc>
        <w:tc>
          <w:tcPr>
            <w:tcW w:w="945" w:type="dxa"/>
            <w:gridSpan w:val="2"/>
            <w:tcBorders>
              <w:bottom w:val="nil"/>
            </w:tcBorders>
            <w:vAlign w:val="center"/>
          </w:tcPr>
          <w:p w14:paraId="3E1F6CB7">
            <w:pPr>
              <w:jc w:val="center"/>
              <w:rPr>
                <w:sz w:val="18"/>
                <w:szCs w:val="18"/>
              </w:rPr>
            </w:pPr>
            <w:r>
              <w:rPr>
                <w:sz w:val="18"/>
                <w:szCs w:val="18"/>
              </w:rPr>
              <w:t>15</w:t>
            </w:r>
          </w:p>
        </w:tc>
        <w:tc>
          <w:tcPr>
            <w:tcW w:w="840" w:type="dxa"/>
            <w:tcBorders>
              <w:bottom w:val="nil"/>
            </w:tcBorders>
            <w:vAlign w:val="center"/>
          </w:tcPr>
          <w:p w14:paraId="49CB8B92">
            <w:pPr>
              <w:jc w:val="center"/>
              <w:rPr>
                <w:sz w:val="18"/>
                <w:szCs w:val="18"/>
              </w:rPr>
            </w:pPr>
            <w:r>
              <w:rPr>
                <w:sz w:val="18"/>
                <w:szCs w:val="18"/>
              </w:rPr>
              <w:t>X</w:t>
            </w:r>
          </w:p>
        </w:tc>
        <w:tc>
          <w:tcPr>
            <w:tcW w:w="945" w:type="dxa"/>
            <w:tcBorders>
              <w:bottom w:val="nil"/>
            </w:tcBorders>
            <w:vAlign w:val="center"/>
          </w:tcPr>
          <w:p w14:paraId="674E9070">
            <w:pPr>
              <w:jc w:val="center"/>
              <w:rPr>
                <w:sz w:val="18"/>
                <w:szCs w:val="18"/>
              </w:rPr>
            </w:pPr>
          </w:p>
        </w:tc>
      </w:tr>
      <w:tr w14:paraId="3DCA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Pr>
          <w:p w14:paraId="06FCB3CD">
            <w:pPr>
              <w:rPr>
                <w:sz w:val="18"/>
              </w:rPr>
            </w:pPr>
            <w:r>
              <w:rPr>
                <w:rFonts w:hint="eastAsia"/>
                <w:sz w:val="18"/>
              </w:rPr>
              <w:t>初步安装图</w:t>
            </w:r>
          </w:p>
        </w:tc>
        <w:tc>
          <w:tcPr>
            <w:tcW w:w="945" w:type="dxa"/>
            <w:tcBorders>
              <w:bottom w:val="nil"/>
            </w:tcBorders>
            <w:vAlign w:val="center"/>
          </w:tcPr>
          <w:p w14:paraId="4645965B">
            <w:pPr>
              <w:jc w:val="center"/>
              <w:rPr>
                <w:sz w:val="18"/>
              </w:rPr>
            </w:pPr>
            <w:r>
              <w:rPr>
                <w:sz w:val="18"/>
              </w:rPr>
              <w:t>X</w:t>
            </w:r>
          </w:p>
        </w:tc>
        <w:tc>
          <w:tcPr>
            <w:tcW w:w="735" w:type="dxa"/>
            <w:gridSpan w:val="2"/>
            <w:tcBorders>
              <w:bottom w:val="nil"/>
            </w:tcBorders>
            <w:vAlign w:val="center"/>
          </w:tcPr>
          <w:p w14:paraId="4C5EAED1">
            <w:pPr>
              <w:jc w:val="center"/>
              <w:rPr>
                <w:sz w:val="18"/>
              </w:rPr>
            </w:pPr>
          </w:p>
        </w:tc>
        <w:tc>
          <w:tcPr>
            <w:tcW w:w="945" w:type="dxa"/>
            <w:gridSpan w:val="3"/>
            <w:tcBorders>
              <w:bottom w:val="nil"/>
            </w:tcBorders>
            <w:vAlign w:val="center"/>
          </w:tcPr>
          <w:p w14:paraId="1761EE00">
            <w:pPr>
              <w:jc w:val="center"/>
              <w:rPr>
                <w:sz w:val="18"/>
                <w:szCs w:val="18"/>
              </w:rPr>
            </w:pPr>
          </w:p>
        </w:tc>
        <w:tc>
          <w:tcPr>
            <w:tcW w:w="945" w:type="dxa"/>
            <w:gridSpan w:val="2"/>
            <w:tcBorders>
              <w:bottom w:val="nil"/>
            </w:tcBorders>
            <w:vAlign w:val="center"/>
          </w:tcPr>
          <w:p w14:paraId="64F2E9EC">
            <w:pPr>
              <w:jc w:val="center"/>
              <w:rPr>
                <w:sz w:val="18"/>
                <w:szCs w:val="18"/>
              </w:rPr>
            </w:pPr>
            <w:r>
              <w:rPr>
                <w:sz w:val="18"/>
                <w:szCs w:val="18"/>
              </w:rPr>
              <w:t>15</w:t>
            </w:r>
          </w:p>
        </w:tc>
        <w:tc>
          <w:tcPr>
            <w:tcW w:w="840" w:type="dxa"/>
            <w:tcBorders>
              <w:bottom w:val="nil"/>
            </w:tcBorders>
            <w:vAlign w:val="center"/>
          </w:tcPr>
          <w:p w14:paraId="57A8FD92">
            <w:pPr>
              <w:jc w:val="center"/>
              <w:rPr>
                <w:sz w:val="18"/>
                <w:szCs w:val="18"/>
              </w:rPr>
            </w:pPr>
          </w:p>
        </w:tc>
        <w:tc>
          <w:tcPr>
            <w:tcW w:w="945" w:type="dxa"/>
            <w:tcBorders>
              <w:bottom w:val="nil"/>
            </w:tcBorders>
            <w:vAlign w:val="center"/>
          </w:tcPr>
          <w:p w14:paraId="4CF1B215">
            <w:pPr>
              <w:jc w:val="center"/>
              <w:rPr>
                <w:sz w:val="18"/>
                <w:szCs w:val="18"/>
              </w:rPr>
            </w:pPr>
          </w:p>
        </w:tc>
      </w:tr>
      <w:tr w14:paraId="635C9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Pr>
          <w:p w14:paraId="6A985448">
            <w:pPr>
              <w:rPr>
                <w:sz w:val="18"/>
              </w:rPr>
            </w:pPr>
            <w:r>
              <w:rPr>
                <w:rFonts w:hint="eastAsia"/>
                <w:sz w:val="18"/>
              </w:rPr>
              <w:t>尺寸轮廓图</w:t>
            </w:r>
          </w:p>
        </w:tc>
        <w:tc>
          <w:tcPr>
            <w:tcW w:w="945" w:type="dxa"/>
            <w:tcBorders>
              <w:bottom w:val="nil"/>
            </w:tcBorders>
            <w:vAlign w:val="center"/>
          </w:tcPr>
          <w:p w14:paraId="7A227D47">
            <w:pPr>
              <w:jc w:val="center"/>
              <w:rPr>
                <w:sz w:val="18"/>
              </w:rPr>
            </w:pPr>
          </w:p>
        </w:tc>
        <w:tc>
          <w:tcPr>
            <w:tcW w:w="735" w:type="dxa"/>
            <w:gridSpan w:val="2"/>
            <w:tcBorders>
              <w:bottom w:val="nil"/>
            </w:tcBorders>
            <w:vAlign w:val="center"/>
          </w:tcPr>
          <w:p w14:paraId="4429B4BA">
            <w:pPr>
              <w:jc w:val="center"/>
              <w:rPr>
                <w:sz w:val="18"/>
              </w:rPr>
            </w:pPr>
          </w:p>
        </w:tc>
        <w:tc>
          <w:tcPr>
            <w:tcW w:w="945" w:type="dxa"/>
            <w:gridSpan w:val="3"/>
            <w:tcBorders>
              <w:bottom w:val="nil"/>
            </w:tcBorders>
            <w:vAlign w:val="center"/>
          </w:tcPr>
          <w:p w14:paraId="135416BC">
            <w:pPr>
              <w:jc w:val="center"/>
              <w:rPr>
                <w:sz w:val="18"/>
                <w:szCs w:val="18"/>
              </w:rPr>
            </w:pPr>
            <w:r>
              <w:rPr>
                <w:sz w:val="18"/>
                <w:szCs w:val="18"/>
              </w:rPr>
              <w:t>X</w:t>
            </w:r>
          </w:p>
        </w:tc>
        <w:tc>
          <w:tcPr>
            <w:tcW w:w="945" w:type="dxa"/>
            <w:gridSpan w:val="2"/>
            <w:tcBorders>
              <w:bottom w:val="nil"/>
            </w:tcBorders>
            <w:vAlign w:val="center"/>
          </w:tcPr>
          <w:p w14:paraId="79DC09E1">
            <w:pPr>
              <w:jc w:val="center"/>
              <w:rPr>
                <w:sz w:val="18"/>
                <w:szCs w:val="18"/>
              </w:rPr>
            </w:pPr>
            <w:r>
              <w:rPr>
                <w:sz w:val="18"/>
                <w:szCs w:val="18"/>
              </w:rPr>
              <w:t>15</w:t>
            </w:r>
          </w:p>
        </w:tc>
        <w:tc>
          <w:tcPr>
            <w:tcW w:w="840" w:type="dxa"/>
            <w:tcBorders>
              <w:bottom w:val="nil"/>
            </w:tcBorders>
            <w:vAlign w:val="center"/>
          </w:tcPr>
          <w:p w14:paraId="7C9AB005">
            <w:pPr>
              <w:jc w:val="center"/>
              <w:rPr>
                <w:sz w:val="18"/>
                <w:szCs w:val="18"/>
              </w:rPr>
            </w:pPr>
            <w:r>
              <w:rPr>
                <w:sz w:val="18"/>
                <w:szCs w:val="18"/>
              </w:rPr>
              <w:t>X</w:t>
            </w:r>
          </w:p>
        </w:tc>
        <w:tc>
          <w:tcPr>
            <w:tcW w:w="945" w:type="dxa"/>
            <w:tcBorders>
              <w:bottom w:val="nil"/>
            </w:tcBorders>
            <w:vAlign w:val="center"/>
          </w:tcPr>
          <w:p w14:paraId="24740ECC">
            <w:pPr>
              <w:jc w:val="center"/>
              <w:rPr>
                <w:sz w:val="18"/>
                <w:szCs w:val="18"/>
              </w:rPr>
            </w:pPr>
          </w:p>
        </w:tc>
      </w:tr>
      <w:tr w14:paraId="4AFDF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Pr>
          <w:p w14:paraId="76A66749">
            <w:pPr>
              <w:rPr>
                <w:sz w:val="18"/>
              </w:rPr>
            </w:pPr>
            <w:r>
              <w:rPr>
                <w:rFonts w:hint="eastAsia"/>
                <w:sz w:val="18"/>
              </w:rPr>
              <w:t>完整的数据单</w:t>
            </w:r>
          </w:p>
        </w:tc>
        <w:tc>
          <w:tcPr>
            <w:tcW w:w="945" w:type="dxa"/>
            <w:tcBorders>
              <w:bottom w:val="nil"/>
            </w:tcBorders>
            <w:vAlign w:val="center"/>
          </w:tcPr>
          <w:p w14:paraId="3D0B16BF">
            <w:pPr>
              <w:jc w:val="center"/>
              <w:rPr>
                <w:sz w:val="18"/>
              </w:rPr>
            </w:pPr>
            <w:r>
              <w:rPr>
                <w:sz w:val="18"/>
              </w:rPr>
              <w:t>X</w:t>
            </w:r>
          </w:p>
        </w:tc>
        <w:tc>
          <w:tcPr>
            <w:tcW w:w="735" w:type="dxa"/>
            <w:gridSpan w:val="2"/>
            <w:tcBorders>
              <w:bottom w:val="nil"/>
            </w:tcBorders>
            <w:vAlign w:val="center"/>
          </w:tcPr>
          <w:p w14:paraId="1284CD48">
            <w:pPr>
              <w:jc w:val="center"/>
              <w:rPr>
                <w:sz w:val="18"/>
              </w:rPr>
            </w:pPr>
          </w:p>
        </w:tc>
        <w:tc>
          <w:tcPr>
            <w:tcW w:w="945" w:type="dxa"/>
            <w:gridSpan w:val="3"/>
            <w:tcBorders>
              <w:bottom w:val="nil"/>
            </w:tcBorders>
            <w:vAlign w:val="center"/>
          </w:tcPr>
          <w:p w14:paraId="53D15B6A">
            <w:pPr>
              <w:jc w:val="center"/>
              <w:rPr>
                <w:sz w:val="18"/>
                <w:szCs w:val="18"/>
              </w:rPr>
            </w:pPr>
            <w:r>
              <w:rPr>
                <w:sz w:val="18"/>
                <w:szCs w:val="18"/>
              </w:rPr>
              <w:t>X</w:t>
            </w:r>
          </w:p>
        </w:tc>
        <w:tc>
          <w:tcPr>
            <w:tcW w:w="945" w:type="dxa"/>
            <w:gridSpan w:val="2"/>
            <w:tcBorders>
              <w:bottom w:val="nil"/>
            </w:tcBorders>
            <w:vAlign w:val="center"/>
          </w:tcPr>
          <w:p w14:paraId="4D195FDD">
            <w:pPr>
              <w:jc w:val="center"/>
              <w:rPr>
                <w:sz w:val="18"/>
                <w:szCs w:val="18"/>
              </w:rPr>
            </w:pPr>
            <w:r>
              <w:rPr>
                <w:sz w:val="18"/>
                <w:szCs w:val="18"/>
              </w:rPr>
              <w:t>15</w:t>
            </w:r>
          </w:p>
        </w:tc>
        <w:tc>
          <w:tcPr>
            <w:tcW w:w="840" w:type="dxa"/>
            <w:tcBorders>
              <w:bottom w:val="nil"/>
            </w:tcBorders>
            <w:vAlign w:val="center"/>
          </w:tcPr>
          <w:p w14:paraId="68245736">
            <w:pPr>
              <w:jc w:val="center"/>
              <w:rPr>
                <w:sz w:val="18"/>
                <w:szCs w:val="18"/>
              </w:rPr>
            </w:pPr>
            <w:r>
              <w:rPr>
                <w:sz w:val="18"/>
                <w:szCs w:val="18"/>
              </w:rPr>
              <w:t>X</w:t>
            </w:r>
          </w:p>
        </w:tc>
        <w:tc>
          <w:tcPr>
            <w:tcW w:w="945" w:type="dxa"/>
            <w:tcBorders>
              <w:bottom w:val="nil"/>
            </w:tcBorders>
            <w:vAlign w:val="center"/>
          </w:tcPr>
          <w:p w14:paraId="5EF57BC9">
            <w:pPr>
              <w:jc w:val="center"/>
              <w:rPr>
                <w:sz w:val="18"/>
                <w:szCs w:val="18"/>
              </w:rPr>
            </w:pPr>
          </w:p>
        </w:tc>
      </w:tr>
      <w:tr w14:paraId="6973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Borders>
              <w:right w:val="nil"/>
            </w:tcBorders>
          </w:tcPr>
          <w:p w14:paraId="18942244">
            <w:pPr>
              <w:rPr>
                <w:sz w:val="18"/>
              </w:rPr>
            </w:pPr>
            <w:r>
              <w:rPr>
                <w:rFonts w:hint="eastAsia"/>
                <w:sz w:val="18"/>
              </w:rPr>
              <w:t>材料重量及尺寸</w:t>
            </w:r>
          </w:p>
        </w:tc>
        <w:tc>
          <w:tcPr>
            <w:tcW w:w="945" w:type="dxa"/>
            <w:vAlign w:val="center"/>
          </w:tcPr>
          <w:p w14:paraId="0F44A3C5">
            <w:pPr>
              <w:jc w:val="center"/>
              <w:rPr>
                <w:sz w:val="18"/>
              </w:rPr>
            </w:pPr>
          </w:p>
        </w:tc>
        <w:tc>
          <w:tcPr>
            <w:tcW w:w="735" w:type="dxa"/>
            <w:gridSpan w:val="2"/>
            <w:tcBorders>
              <w:left w:val="nil"/>
              <w:bottom w:val="nil"/>
            </w:tcBorders>
            <w:vAlign w:val="center"/>
          </w:tcPr>
          <w:p w14:paraId="30B913E2">
            <w:pPr>
              <w:jc w:val="center"/>
              <w:rPr>
                <w:sz w:val="18"/>
              </w:rPr>
            </w:pPr>
          </w:p>
        </w:tc>
        <w:tc>
          <w:tcPr>
            <w:tcW w:w="945" w:type="dxa"/>
            <w:gridSpan w:val="3"/>
            <w:tcBorders>
              <w:bottom w:val="nil"/>
            </w:tcBorders>
            <w:vAlign w:val="center"/>
          </w:tcPr>
          <w:p w14:paraId="0AACD3DF">
            <w:pPr>
              <w:jc w:val="center"/>
              <w:rPr>
                <w:sz w:val="18"/>
                <w:szCs w:val="18"/>
              </w:rPr>
            </w:pPr>
            <w:r>
              <w:rPr>
                <w:sz w:val="18"/>
                <w:szCs w:val="18"/>
              </w:rPr>
              <w:t>X</w:t>
            </w:r>
          </w:p>
        </w:tc>
        <w:tc>
          <w:tcPr>
            <w:tcW w:w="945" w:type="dxa"/>
            <w:gridSpan w:val="2"/>
            <w:tcBorders>
              <w:bottom w:val="nil"/>
            </w:tcBorders>
            <w:vAlign w:val="center"/>
          </w:tcPr>
          <w:p w14:paraId="3ADC55D1">
            <w:pPr>
              <w:jc w:val="center"/>
              <w:rPr>
                <w:sz w:val="18"/>
                <w:szCs w:val="18"/>
              </w:rPr>
            </w:pPr>
            <w:r>
              <w:rPr>
                <w:sz w:val="18"/>
                <w:szCs w:val="18"/>
              </w:rPr>
              <w:t>15</w:t>
            </w:r>
          </w:p>
        </w:tc>
        <w:tc>
          <w:tcPr>
            <w:tcW w:w="840" w:type="dxa"/>
            <w:tcBorders>
              <w:bottom w:val="nil"/>
            </w:tcBorders>
            <w:vAlign w:val="center"/>
          </w:tcPr>
          <w:p w14:paraId="699A551B">
            <w:pPr>
              <w:jc w:val="center"/>
              <w:rPr>
                <w:sz w:val="18"/>
                <w:szCs w:val="18"/>
              </w:rPr>
            </w:pPr>
            <w:r>
              <w:rPr>
                <w:sz w:val="18"/>
                <w:szCs w:val="18"/>
              </w:rPr>
              <w:t>X</w:t>
            </w:r>
          </w:p>
        </w:tc>
        <w:tc>
          <w:tcPr>
            <w:tcW w:w="945" w:type="dxa"/>
            <w:tcBorders>
              <w:bottom w:val="nil"/>
            </w:tcBorders>
            <w:vAlign w:val="center"/>
          </w:tcPr>
          <w:p w14:paraId="1B6AD254">
            <w:pPr>
              <w:jc w:val="center"/>
              <w:rPr>
                <w:sz w:val="18"/>
                <w:szCs w:val="18"/>
              </w:rPr>
            </w:pPr>
          </w:p>
        </w:tc>
      </w:tr>
      <w:tr w14:paraId="1482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83" w:type="dxa"/>
            <w:gridSpan w:val="3"/>
          </w:tcPr>
          <w:p w14:paraId="2FA7A6F0">
            <w:pPr>
              <w:rPr>
                <w:sz w:val="18"/>
              </w:rPr>
            </w:pPr>
            <w:r>
              <w:rPr>
                <w:rFonts w:hint="eastAsia"/>
                <w:sz w:val="18"/>
              </w:rPr>
              <w:t>质量保证手册（未经检查的原稿）</w:t>
            </w:r>
          </w:p>
        </w:tc>
        <w:tc>
          <w:tcPr>
            <w:tcW w:w="945" w:type="dxa"/>
            <w:tcBorders>
              <w:top w:val="nil"/>
              <w:bottom w:val="nil"/>
            </w:tcBorders>
            <w:vAlign w:val="center"/>
          </w:tcPr>
          <w:p w14:paraId="65BFA971">
            <w:pPr>
              <w:jc w:val="center"/>
              <w:rPr>
                <w:sz w:val="18"/>
              </w:rPr>
            </w:pPr>
            <w:r>
              <w:rPr>
                <w:sz w:val="18"/>
              </w:rPr>
              <w:t>X</w:t>
            </w:r>
          </w:p>
        </w:tc>
        <w:tc>
          <w:tcPr>
            <w:tcW w:w="735" w:type="dxa"/>
            <w:gridSpan w:val="2"/>
            <w:tcBorders>
              <w:bottom w:val="nil"/>
            </w:tcBorders>
            <w:vAlign w:val="center"/>
          </w:tcPr>
          <w:p w14:paraId="569089CF">
            <w:pPr>
              <w:jc w:val="center"/>
              <w:rPr>
                <w:sz w:val="18"/>
              </w:rPr>
            </w:pPr>
          </w:p>
        </w:tc>
        <w:tc>
          <w:tcPr>
            <w:tcW w:w="945" w:type="dxa"/>
            <w:gridSpan w:val="3"/>
            <w:tcBorders>
              <w:bottom w:val="nil"/>
            </w:tcBorders>
            <w:vAlign w:val="center"/>
          </w:tcPr>
          <w:p w14:paraId="1494B2C6">
            <w:pPr>
              <w:jc w:val="center"/>
              <w:rPr>
                <w:sz w:val="18"/>
                <w:szCs w:val="18"/>
              </w:rPr>
            </w:pPr>
          </w:p>
        </w:tc>
        <w:tc>
          <w:tcPr>
            <w:tcW w:w="945" w:type="dxa"/>
            <w:gridSpan w:val="2"/>
            <w:tcBorders>
              <w:bottom w:val="nil"/>
            </w:tcBorders>
            <w:vAlign w:val="center"/>
          </w:tcPr>
          <w:p w14:paraId="7E2540AF">
            <w:pPr>
              <w:jc w:val="center"/>
              <w:rPr>
                <w:sz w:val="18"/>
                <w:szCs w:val="18"/>
              </w:rPr>
            </w:pPr>
          </w:p>
        </w:tc>
        <w:tc>
          <w:tcPr>
            <w:tcW w:w="840" w:type="dxa"/>
            <w:tcBorders>
              <w:bottom w:val="nil"/>
            </w:tcBorders>
            <w:vAlign w:val="center"/>
          </w:tcPr>
          <w:p w14:paraId="69CF814D">
            <w:pPr>
              <w:jc w:val="center"/>
              <w:rPr>
                <w:sz w:val="18"/>
                <w:szCs w:val="18"/>
              </w:rPr>
            </w:pPr>
          </w:p>
        </w:tc>
        <w:tc>
          <w:tcPr>
            <w:tcW w:w="945" w:type="dxa"/>
            <w:tcBorders>
              <w:bottom w:val="nil"/>
            </w:tcBorders>
            <w:vAlign w:val="center"/>
          </w:tcPr>
          <w:p w14:paraId="770EDD59">
            <w:pPr>
              <w:jc w:val="center"/>
              <w:rPr>
                <w:sz w:val="18"/>
                <w:szCs w:val="18"/>
              </w:rPr>
            </w:pPr>
          </w:p>
        </w:tc>
      </w:tr>
      <w:tr w14:paraId="4B49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vAlign w:val="center"/>
          </w:tcPr>
          <w:p w14:paraId="15DD8844">
            <w:pPr>
              <w:jc w:val="left"/>
              <w:rPr>
                <w:sz w:val="18"/>
              </w:rPr>
            </w:pPr>
            <w:r>
              <w:rPr>
                <w:rFonts w:hint="eastAsia"/>
                <w:sz w:val="18"/>
              </w:rPr>
              <w:t>基础负载的图表</w:t>
            </w:r>
          </w:p>
        </w:tc>
        <w:tc>
          <w:tcPr>
            <w:tcW w:w="945" w:type="dxa"/>
            <w:gridSpan w:val="3"/>
            <w:vAlign w:val="center"/>
          </w:tcPr>
          <w:p w14:paraId="2F8A0CAE">
            <w:pPr>
              <w:jc w:val="center"/>
              <w:rPr>
                <w:sz w:val="18"/>
                <w:szCs w:val="18"/>
              </w:rPr>
            </w:pPr>
          </w:p>
        </w:tc>
        <w:tc>
          <w:tcPr>
            <w:tcW w:w="945" w:type="dxa"/>
            <w:gridSpan w:val="2"/>
            <w:vAlign w:val="center"/>
          </w:tcPr>
          <w:p w14:paraId="44F8ED4B">
            <w:pPr>
              <w:jc w:val="center"/>
              <w:rPr>
                <w:sz w:val="18"/>
                <w:szCs w:val="18"/>
              </w:rPr>
            </w:pPr>
          </w:p>
        </w:tc>
        <w:tc>
          <w:tcPr>
            <w:tcW w:w="840" w:type="dxa"/>
            <w:vAlign w:val="center"/>
          </w:tcPr>
          <w:p w14:paraId="615E5F39">
            <w:pPr>
              <w:jc w:val="center"/>
              <w:rPr>
                <w:sz w:val="18"/>
                <w:szCs w:val="18"/>
              </w:rPr>
            </w:pPr>
          </w:p>
        </w:tc>
        <w:tc>
          <w:tcPr>
            <w:tcW w:w="945" w:type="dxa"/>
            <w:vAlign w:val="center"/>
          </w:tcPr>
          <w:p w14:paraId="0075C8EB">
            <w:pPr>
              <w:jc w:val="center"/>
              <w:rPr>
                <w:sz w:val="18"/>
                <w:szCs w:val="18"/>
              </w:rPr>
            </w:pPr>
          </w:p>
        </w:tc>
      </w:tr>
      <w:tr w14:paraId="5FFE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1DF32849">
            <w:pPr>
              <w:rPr>
                <w:sz w:val="18"/>
              </w:rPr>
            </w:pPr>
            <w:r>
              <w:rPr>
                <w:rFonts w:hint="eastAsia"/>
                <w:sz w:val="18"/>
              </w:rPr>
              <w:t>锚固螺栓的位置平面图</w:t>
            </w:r>
          </w:p>
        </w:tc>
        <w:tc>
          <w:tcPr>
            <w:tcW w:w="945" w:type="dxa"/>
            <w:gridSpan w:val="3"/>
            <w:vAlign w:val="center"/>
          </w:tcPr>
          <w:p w14:paraId="105B2FAC">
            <w:pPr>
              <w:jc w:val="center"/>
              <w:rPr>
                <w:sz w:val="18"/>
                <w:szCs w:val="18"/>
              </w:rPr>
            </w:pPr>
            <w:r>
              <w:rPr>
                <w:sz w:val="18"/>
                <w:szCs w:val="18"/>
              </w:rPr>
              <w:t>X</w:t>
            </w:r>
          </w:p>
        </w:tc>
        <w:tc>
          <w:tcPr>
            <w:tcW w:w="945" w:type="dxa"/>
            <w:gridSpan w:val="2"/>
            <w:vAlign w:val="center"/>
          </w:tcPr>
          <w:p w14:paraId="75215A23">
            <w:pPr>
              <w:jc w:val="center"/>
              <w:rPr>
                <w:sz w:val="18"/>
                <w:szCs w:val="18"/>
              </w:rPr>
            </w:pPr>
          </w:p>
        </w:tc>
        <w:tc>
          <w:tcPr>
            <w:tcW w:w="840" w:type="dxa"/>
            <w:vAlign w:val="center"/>
          </w:tcPr>
          <w:p w14:paraId="7A4CBF5B">
            <w:pPr>
              <w:jc w:val="center"/>
              <w:rPr>
                <w:sz w:val="18"/>
                <w:szCs w:val="18"/>
              </w:rPr>
            </w:pPr>
            <w:r>
              <w:rPr>
                <w:sz w:val="18"/>
                <w:szCs w:val="18"/>
              </w:rPr>
              <w:t>X</w:t>
            </w:r>
          </w:p>
        </w:tc>
        <w:tc>
          <w:tcPr>
            <w:tcW w:w="945" w:type="dxa"/>
            <w:vAlign w:val="center"/>
          </w:tcPr>
          <w:p w14:paraId="47011303">
            <w:pPr>
              <w:jc w:val="center"/>
              <w:rPr>
                <w:sz w:val="18"/>
                <w:szCs w:val="18"/>
              </w:rPr>
            </w:pPr>
          </w:p>
        </w:tc>
      </w:tr>
      <w:tr w14:paraId="3A33B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6EF1168F">
            <w:pPr>
              <w:rPr>
                <w:sz w:val="18"/>
              </w:rPr>
            </w:pPr>
            <w:r>
              <w:rPr>
                <w:rFonts w:hint="eastAsia"/>
                <w:sz w:val="18"/>
              </w:rPr>
              <w:t>平面尺寸图及剖视图</w:t>
            </w:r>
          </w:p>
        </w:tc>
        <w:tc>
          <w:tcPr>
            <w:tcW w:w="945" w:type="dxa"/>
            <w:gridSpan w:val="3"/>
            <w:vAlign w:val="center"/>
          </w:tcPr>
          <w:p w14:paraId="5ADD41BC">
            <w:pPr>
              <w:jc w:val="center"/>
              <w:rPr>
                <w:sz w:val="18"/>
                <w:szCs w:val="18"/>
              </w:rPr>
            </w:pPr>
          </w:p>
        </w:tc>
        <w:tc>
          <w:tcPr>
            <w:tcW w:w="945" w:type="dxa"/>
            <w:gridSpan w:val="2"/>
            <w:vAlign w:val="center"/>
          </w:tcPr>
          <w:p w14:paraId="3B6C9C2F">
            <w:pPr>
              <w:jc w:val="center"/>
              <w:rPr>
                <w:sz w:val="18"/>
                <w:szCs w:val="18"/>
              </w:rPr>
            </w:pPr>
          </w:p>
        </w:tc>
        <w:tc>
          <w:tcPr>
            <w:tcW w:w="840" w:type="dxa"/>
            <w:vAlign w:val="center"/>
          </w:tcPr>
          <w:p w14:paraId="3136B945">
            <w:pPr>
              <w:jc w:val="center"/>
              <w:rPr>
                <w:sz w:val="18"/>
                <w:szCs w:val="18"/>
              </w:rPr>
            </w:pPr>
          </w:p>
        </w:tc>
        <w:tc>
          <w:tcPr>
            <w:tcW w:w="945" w:type="dxa"/>
            <w:vAlign w:val="center"/>
          </w:tcPr>
          <w:p w14:paraId="6E508E74">
            <w:pPr>
              <w:jc w:val="center"/>
              <w:rPr>
                <w:sz w:val="18"/>
                <w:szCs w:val="18"/>
              </w:rPr>
            </w:pPr>
          </w:p>
        </w:tc>
      </w:tr>
      <w:tr w14:paraId="6EA6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5A4B40EB">
            <w:pPr>
              <w:rPr>
                <w:sz w:val="18"/>
              </w:rPr>
            </w:pPr>
            <w:r>
              <w:rPr>
                <w:rFonts w:hint="eastAsia"/>
                <w:sz w:val="18"/>
              </w:rPr>
              <w:t>指明由制造商提供的配管、电气及仪表草图</w:t>
            </w:r>
          </w:p>
        </w:tc>
        <w:tc>
          <w:tcPr>
            <w:tcW w:w="945" w:type="dxa"/>
            <w:gridSpan w:val="3"/>
            <w:vAlign w:val="center"/>
          </w:tcPr>
          <w:p w14:paraId="02CC3263">
            <w:pPr>
              <w:jc w:val="center"/>
              <w:rPr>
                <w:sz w:val="18"/>
                <w:szCs w:val="18"/>
              </w:rPr>
            </w:pPr>
            <w:r>
              <w:rPr>
                <w:sz w:val="18"/>
                <w:szCs w:val="18"/>
              </w:rPr>
              <w:t>X</w:t>
            </w:r>
          </w:p>
        </w:tc>
        <w:tc>
          <w:tcPr>
            <w:tcW w:w="945" w:type="dxa"/>
            <w:gridSpan w:val="2"/>
            <w:vAlign w:val="center"/>
          </w:tcPr>
          <w:p w14:paraId="15E46178">
            <w:pPr>
              <w:jc w:val="center"/>
              <w:rPr>
                <w:sz w:val="18"/>
                <w:szCs w:val="18"/>
              </w:rPr>
            </w:pPr>
            <w:r>
              <w:rPr>
                <w:sz w:val="18"/>
                <w:szCs w:val="18"/>
              </w:rPr>
              <w:t>30</w:t>
            </w:r>
          </w:p>
        </w:tc>
        <w:tc>
          <w:tcPr>
            <w:tcW w:w="840" w:type="dxa"/>
            <w:vAlign w:val="center"/>
          </w:tcPr>
          <w:p w14:paraId="02DC8E7F">
            <w:pPr>
              <w:jc w:val="center"/>
              <w:rPr>
                <w:sz w:val="18"/>
                <w:szCs w:val="18"/>
              </w:rPr>
            </w:pPr>
            <w:r>
              <w:rPr>
                <w:sz w:val="18"/>
                <w:szCs w:val="18"/>
              </w:rPr>
              <w:t>X</w:t>
            </w:r>
          </w:p>
        </w:tc>
        <w:tc>
          <w:tcPr>
            <w:tcW w:w="945" w:type="dxa"/>
            <w:vAlign w:val="center"/>
          </w:tcPr>
          <w:p w14:paraId="41116E9B">
            <w:pPr>
              <w:jc w:val="center"/>
              <w:rPr>
                <w:sz w:val="18"/>
                <w:szCs w:val="18"/>
              </w:rPr>
            </w:pPr>
            <w:r>
              <w:rPr>
                <w:sz w:val="18"/>
                <w:szCs w:val="18"/>
              </w:rPr>
              <w:t>30</w:t>
            </w:r>
          </w:p>
        </w:tc>
      </w:tr>
      <w:tr w14:paraId="105D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743C1F56">
            <w:pPr>
              <w:rPr>
                <w:sz w:val="18"/>
              </w:rPr>
            </w:pPr>
            <w:r>
              <w:rPr>
                <w:rFonts w:hint="eastAsia"/>
                <w:sz w:val="18"/>
              </w:rPr>
              <w:t>电气及仪表操作说明书</w:t>
            </w:r>
          </w:p>
        </w:tc>
        <w:tc>
          <w:tcPr>
            <w:tcW w:w="945" w:type="dxa"/>
            <w:gridSpan w:val="3"/>
            <w:vAlign w:val="center"/>
          </w:tcPr>
          <w:p w14:paraId="7415CC13">
            <w:pPr>
              <w:jc w:val="center"/>
              <w:rPr>
                <w:sz w:val="18"/>
                <w:szCs w:val="18"/>
              </w:rPr>
            </w:pPr>
            <w:r>
              <w:rPr>
                <w:sz w:val="18"/>
                <w:szCs w:val="18"/>
              </w:rPr>
              <w:t>X</w:t>
            </w:r>
          </w:p>
        </w:tc>
        <w:tc>
          <w:tcPr>
            <w:tcW w:w="945" w:type="dxa"/>
            <w:gridSpan w:val="2"/>
            <w:vAlign w:val="center"/>
          </w:tcPr>
          <w:p w14:paraId="06713AFE">
            <w:pPr>
              <w:jc w:val="center"/>
              <w:rPr>
                <w:sz w:val="18"/>
                <w:szCs w:val="18"/>
              </w:rPr>
            </w:pPr>
            <w:r>
              <w:rPr>
                <w:sz w:val="18"/>
                <w:szCs w:val="18"/>
              </w:rPr>
              <w:t>30</w:t>
            </w:r>
          </w:p>
        </w:tc>
        <w:tc>
          <w:tcPr>
            <w:tcW w:w="840" w:type="dxa"/>
            <w:vAlign w:val="center"/>
          </w:tcPr>
          <w:p w14:paraId="006AD8EE">
            <w:pPr>
              <w:jc w:val="center"/>
              <w:rPr>
                <w:sz w:val="18"/>
                <w:szCs w:val="18"/>
              </w:rPr>
            </w:pPr>
            <w:r>
              <w:rPr>
                <w:sz w:val="18"/>
                <w:szCs w:val="18"/>
              </w:rPr>
              <w:t>X</w:t>
            </w:r>
          </w:p>
        </w:tc>
        <w:tc>
          <w:tcPr>
            <w:tcW w:w="945" w:type="dxa"/>
            <w:vAlign w:val="center"/>
          </w:tcPr>
          <w:p w14:paraId="1F550C4D">
            <w:pPr>
              <w:jc w:val="center"/>
              <w:rPr>
                <w:sz w:val="18"/>
                <w:szCs w:val="18"/>
              </w:rPr>
            </w:pPr>
            <w:r>
              <w:rPr>
                <w:sz w:val="18"/>
                <w:szCs w:val="18"/>
              </w:rPr>
              <w:t>30</w:t>
            </w:r>
          </w:p>
        </w:tc>
      </w:tr>
      <w:tr w14:paraId="38950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34A90021">
            <w:pPr>
              <w:rPr>
                <w:sz w:val="18"/>
              </w:rPr>
            </w:pPr>
            <w:r>
              <w:rPr>
                <w:rFonts w:hint="eastAsia"/>
                <w:sz w:val="18"/>
              </w:rPr>
              <w:t>装配详图和组件图</w:t>
            </w:r>
          </w:p>
        </w:tc>
        <w:tc>
          <w:tcPr>
            <w:tcW w:w="945" w:type="dxa"/>
            <w:gridSpan w:val="3"/>
            <w:vAlign w:val="center"/>
          </w:tcPr>
          <w:p w14:paraId="29173E1A">
            <w:pPr>
              <w:jc w:val="center"/>
              <w:rPr>
                <w:sz w:val="18"/>
                <w:szCs w:val="18"/>
              </w:rPr>
            </w:pPr>
            <w:r>
              <w:rPr>
                <w:sz w:val="18"/>
                <w:szCs w:val="18"/>
              </w:rPr>
              <w:t>X</w:t>
            </w:r>
          </w:p>
        </w:tc>
        <w:tc>
          <w:tcPr>
            <w:tcW w:w="945" w:type="dxa"/>
            <w:gridSpan w:val="2"/>
            <w:vAlign w:val="center"/>
          </w:tcPr>
          <w:p w14:paraId="06A570AF">
            <w:pPr>
              <w:jc w:val="center"/>
              <w:rPr>
                <w:sz w:val="18"/>
                <w:szCs w:val="18"/>
              </w:rPr>
            </w:pPr>
            <w:r>
              <w:rPr>
                <w:sz w:val="18"/>
                <w:szCs w:val="18"/>
              </w:rPr>
              <w:t>30</w:t>
            </w:r>
          </w:p>
        </w:tc>
        <w:tc>
          <w:tcPr>
            <w:tcW w:w="840" w:type="dxa"/>
            <w:vAlign w:val="center"/>
          </w:tcPr>
          <w:p w14:paraId="741654B7">
            <w:pPr>
              <w:jc w:val="center"/>
              <w:rPr>
                <w:sz w:val="18"/>
                <w:szCs w:val="18"/>
              </w:rPr>
            </w:pPr>
            <w:r>
              <w:rPr>
                <w:sz w:val="18"/>
                <w:szCs w:val="18"/>
              </w:rPr>
              <w:t>X</w:t>
            </w:r>
          </w:p>
        </w:tc>
        <w:tc>
          <w:tcPr>
            <w:tcW w:w="945" w:type="dxa"/>
            <w:vAlign w:val="center"/>
          </w:tcPr>
          <w:p w14:paraId="79166224">
            <w:pPr>
              <w:jc w:val="center"/>
              <w:rPr>
                <w:sz w:val="18"/>
                <w:szCs w:val="18"/>
              </w:rPr>
            </w:pPr>
            <w:r>
              <w:rPr>
                <w:sz w:val="18"/>
                <w:szCs w:val="18"/>
              </w:rPr>
              <w:t>30</w:t>
            </w:r>
          </w:p>
        </w:tc>
      </w:tr>
      <w:tr w14:paraId="0D5C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09143F02">
            <w:pPr>
              <w:rPr>
                <w:sz w:val="18"/>
              </w:rPr>
            </w:pPr>
            <w:r>
              <w:rPr>
                <w:rFonts w:hint="eastAsia"/>
                <w:sz w:val="18"/>
              </w:rPr>
              <w:t>焊接工序</w:t>
            </w:r>
          </w:p>
        </w:tc>
        <w:tc>
          <w:tcPr>
            <w:tcW w:w="945" w:type="dxa"/>
            <w:gridSpan w:val="3"/>
            <w:vAlign w:val="center"/>
          </w:tcPr>
          <w:p w14:paraId="08C70C5D">
            <w:pPr>
              <w:jc w:val="center"/>
              <w:rPr>
                <w:sz w:val="18"/>
                <w:szCs w:val="18"/>
              </w:rPr>
            </w:pPr>
            <w:r>
              <w:rPr>
                <w:sz w:val="18"/>
                <w:szCs w:val="18"/>
              </w:rPr>
              <w:t>X</w:t>
            </w:r>
          </w:p>
        </w:tc>
        <w:tc>
          <w:tcPr>
            <w:tcW w:w="945" w:type="dxa"/>
            <w:gridSpan w:val="2"/>
            <w:vAlign w:val="center"/>
          </w:tcPr>
          <w:p w14:paraId="359A97A0">
            <w:pPr>
              <w:jc w:val="center"/>
              <w:rPr>
                <w:sz w:val="18"/>
                <w:szCs w:val="18"/>
              </w:rPr>
            </w:pPr>
          </w:p>
        </w:tc>
        <w:tc>
          <w:tcPr>
            <w:tcW w:w="840" w:type="dxa"/>
            <w:vAlign w:val="center"/>
          </w:tcPr>
          <w:p w14:paraId="1C4AAEB9">
            <w:pPr>
              <w:jc w:val="center"/>
              <w:rPr>
                <w:sz w:val="18"/>
                <w:szCs w:val="18"/>
              </w:rPr>
            </w:pPr>
          </w:p>
        </w:tc>
        <w:tc>
          <w:tcPr>
            <w:tcW w:w="945" w:type="dxa"/>
            <w:vAlign w:val="center"/>
          </w:tcPr>
          <w:p w14:paraId="4A814E15">
            <w:pPr>
              <w:jc w:val="center"/>
              <w:rPr>
                <w:sz w:val="18"/>
                <w:szCs w:val="18"/>
              </w:rPr>
            </w:pPr>
          </w:p>
        </w:tc>
      </w:tr>
      <w:tr w14:paraId="3DB2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79C8D01E">
            <w:pPr>
              <w:rPr>
                <w:sz w:val="18"/>
              </w:rPr>
            </w:pPr>
            <w:r>
              <w:rPr>
                <w:rFonts w:hint="eastAsia"/>
                <w:sz w:val="18"/>
              </w:rPr>
              <w:t>管嘴允许的力</w:t>
            </w:r>
            <w:r>
              <w:rPr>
                <w:sz w:val="18"/>
              </w:rPr>
              <w:t>/</w:t>
            </w:r>
            <w:r>
              <w:rPr>
                <w:rFonts w:hint="eastAsia"/>
                <w:sz w:val="18"/>
              </w:rPr>
              <w:t>力矩图</w:t>
            </w:r>
          </w:p>
        </w:tc>
        <w:tc>
          <w:tcPr>
            <w:tcW w:w="945" w:type="dxa"/>
            <w:gridSpan w:val="3"/>
            <w:vAlign w:val="center"/>
          </w:tcPr>
          <w:p w14:paraId="73A0E463">
            <w:pPr>
              <w:jc w:val="center"/>
              <w:rPr>
                <w:sz w:val="18"/>
                <w:szCs w:val="18"/>
              </w:rPr>
            </w:pPr>
          </w:p>
        </w:tc>
        <w:tc>
          <w:tcPr>
            <w:tcW w:w="945" w:type="dxa"/>
            <w:gridSpan w:val="2"/>
            <w:vAlign w:val="center"/>
          </w:tcPr>
          <w:p w14:paraId="5C3ACD21">
            <w:pPr>
              <w:jc w:val="center"/>
              <w:rPr>
                <w:sz w:val="18"/>
                <w:szCs w:val="18"/>
              </w:rPr>
            </w:pPr>
          </w:p>
        </w:tc>
        <w:tc>
          <w:tcPr>
            <w:tcW w:w="840" w:type="dxa"/>
            <w:vAlign w:val="center"/>
          </w:tcPr>
          <w:p w14:paraId="09B3666C">
            <w:pPr>
              <w:jc w:val="center"/>
              <w:rPr>
                <w:sz w:val="18"/>
                <w:szCs w:val="18"/>
              </w:rPr>
            </w:pPr>
          </w:p>
        </w:tc>
        <w:tc>
          <w:tcPr>
            <w:tcW w:w="945" w:type="dxa"/>
            <w:vAlign w:val="center"/>
          </w:tcPr>
          <w:p w14:paraId="37FA09F4">
            <w:pPr>
              <w:jc w:val="center"/>
              <w:rPr>
                <w:sz w:val="18"/>
                <w:szCs w:val="18"/>
              </w:rPr>
            </w:pPr>
          </w:p>
        </w:tc>
      </w:tr>
      <w:tr w14:paraId="091B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7BF1A630">
            <w:pPr>
              <w:rPr>
                <w:sz w:val="18"/>
              </w:rPr>
            </w:pPr>
            <w:r>
              <w:rPr>
                <w:rFonts w:hint="eastAsia"/>
                <w:sz w:val="18"/>
              </w:rPr>
              <w:t>安装图或控制盘平面图</w:t>
            </w:r>
          </w:p>
        </w:tc>
        <w:tc>
          <w:tcPr>
            <w:tcW w:w="945" w:type="dxa"/>
            <w:gridSpan w:val="3"/>
            <w:vAlign w:val="center"/>
          </w:tcPr>
          <w:p w14:paraId="08E8A50B">
            <w:pPr>
              <w:jc w:val="center"/>
              <w:rPr>
                <w:sz w:val="18"/>
                <w:szCs w:val="18"/>
              </w:rPr>
            </w:pPr>
            <w:r>
              <w:rPr>
                <w:sz w:val="18"/>
                <w:szCs w:val="18"/>
              </w:rPr>
              <w:t>X</w:t>
            </w:r>
          </w:p>
        </w:tc>
        <w:tc>
          <w:tcPr>
            <w:tcW w:w="945" w:type="dxa"/>
            <w:gridSpan w:val="2"/>
            <w:vAlign w:val="center"/>
          </w:tcPr>
          <w:p w14:paraId="7B769E8D">
            <w:pPr>
              <w:jc w:val="center"/>
              <w:rPr>
                <w:sz w:val="18"/>
                <w:szCs w:val="18"/>
              </w:rPr>
            </w:pPr>
            <w:r>
              <w:rPr>
                <w:sz w:val="18"/>
                <w:szCs w:val="18"/>
              </w:rPr>
              <w:t>30</w:t>
            </w:r>
          </w:p>
        </w:tc>
        <w:tc>
          <w:tcPr>
            <w:tcW w:w="840" w:type="dxa"/>
            <w:vAlign w:val="center"/>
          </w:tcPr>
          <w:p w14:paraId="16512A38">
            <w:pPr>
              <w:jc w:val="center"/>
              <w:rPr>
                <w:sz w:val="18"/>
                <w:szCs w:val="18"/>
              </w:rPr>
            </w:pPr>
            <w:r>
              <w:rPr>
                <w:sz w:val="18"/>
                <w:szCs w:val="18"/>
              </w:rPr>
              <w:t>X</w:t>
            </w:r>
          </w:p>
        </w:tc>
        <w:tc>
          <w:tcPr>
            <w:tcW w:w="945" w:type="dxa"/>
            <w:vAlign w:val="center"/>
          </w:tcPr>
          <w:p w14:paraId="211E75B4">
            <w:pPr>
              <w:jc w:val="center"/>
              <w:rPr>
                <w:sz w:val="18"/>
                <w:szCs w:val="18"/>
              </w:rPr>
            </w:pPr>
            <w:r>
              <w:rPr>
                <w:sz w:val="18"/>
                <w:szCs w:val="18"/>
              </w:rPr>
              <w:t>30</w:t>
            </w:r>
          </w:p>
        </w:tc>
      </w:tr>
      <w:tr w14:paraId="1110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11B30877">
            <w:pPr>
              <w:rPr>
                <w:sz w:val="18"/>
              </w:rPr>
            </w:pPr>
            <w:r>
              <w:rPr>
                <w:rFonts w:hint="eastAsia"/>
                <w:sz w:val="18"/>
              </w:rPr>
              <w:t>配管及电气连接图，给出位置</w:t>
            </w:r>
          </w:p>
        </w:tc>
        <w:tc>
          <w:tcPr>
            <w:tcW w:w="945" w:type="dxa"/>
            <w:gridSpan w:val="3"/>
            <w:vAlign w:val="center"/>
          </w:tcPr>
          <w:p w14:paraId="7EFF6493">
            <w:pPr>
              <w:jc w:val="center"/>
              <w:rPr>
                <w:sz w:val="18"/>
                <w:szCs w:val="18"/>
              </w:rPr>
            </w:pPr>
            <w:r>
              <w:rPr>
                <w:sz w:val="18"/>
                <w:szCs w:val="18"/>
              </w:rPr>
              <w:t>X</w:t>
            </w:r>
          </w:p>
        </w:tc>
        <w:tc>
          <w:tcPr>
            <w:tcW w:w="945" w:type="dxa"/>
            <w:gridSpan w:val="2"/>
            <w:vAlign w:val="center"/>
          </w:tcPr>
          <w:p w14:paraId="1F97AD32">
            <w:pPr>
              <w:jc w:val="center"/>
              <w:rPr>
                <w:sz w:val="18"/>
                <w:szCs w:val="18"/>
              </w:rPr>
            </w:pPr>
            <w:r>
              <w:rPr>
                <w:sz w:val="18"/>
                <w:szCs w:val="18"/>
              </w:rPr>
              <w:t>30</w:t>
            </w:r>
          </w:p>
        </w:tc>
        <w:tc>
          <w:tcPr>
            <w:tcW w:w="840" w:type="dxa"/>
            <w:vAlign w:val="center"/>
          </w:tcPr>
          <w:p w14:paraId="2C91A121">
            <w:pPr>
              <w:jc w:val="center"/>
              <w:rPr>
                <w:sz w:val="18"/>
                <w:szCs w:val="18"/>
              </w:rPr>
            </w:pPr>
            <w:r>
              <w:rPr>
                <w:sz w:val="18"/>
                <w:szCs w:val="18"/>
              </w:rPr>
              <w:t>X</w:t>
            </w:r>
          </w:p>
        </w:tc>
        <w:tc>
          <w:tcPr>
            <w:tcW w:w="945" w:type="dxa"/>
            <w:vAlign w:val="center"/>
          </w:tcPr>
          <w:p w14:paraId="797E154B">
            <w:pPr>
              <w:jc w:val="center"/>
              <w:rPr>
                <w:sz w:val="18"/>
                <w:szCs w:val="18"/>
              </w:rPr>
            </w:pPr>
            <w:r>
              <w:rPr>
                <w:sz w:val="18"/>
                <w:szCs w:val="18"/>
              </w:rPr>
              <w:t>30</w:t>
            </w:r>
          </w:p>
        </w:tc>
      </w:tr>
      <w:tr w14:paraId="1169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579935E8">
            <w:pPr>
              <w:rPr>
                <w:sz w:val="18"/>
              </w:rPr>
            </w:pPr>
            <w:r>
              <w:rPr>
                <w:rFonts w:hint="eastAsia"/>
                <w:sz w:val="18"/>
              </w:rPr>
              <w:t>电气简图；接线图及材料单</w:t>
            </w:r>
          </w:p>
        </w:tc>
        <w:tc>
          <w:tcPr>
            <w:tcW w:w="945" w:type="dxa"/>
            <w:gridSpan w:val="3"/>
            <w:vAlign w:val="center"/>
          </w:tcPr>
          <w:p w14:paraId="42DBB238">
            <w:pPr>
              <w:jc w:val="center"/>
              <w:rPr>
                <w:sz w:val="18"/>
                <w:szCs w:val="18"/>
              </w:rPr>
            </w:pPr>
            <w:r>
              <w:rPr>
                <w:sz w:val="18"/>
                <w:szCs w:val="18"/>
              </w:rPr>
              <w:t>X</w:t>
            </w:r>
          </w:p>
        </w:tc>
        <w:tc>
          <w:tcPr>
            <w:tcW w:w="945" w:type="dxa"/>
            <w:gridSpan w:val="2"/>
            <w:vAlign w:val="center"/>
          </w:tcPr>
          <w:p w14:paraId="27A8E204">
            <w:pPr>
              <w:jc w:val="center"/>
              <w:rPr>
                <w:sz w:val="18"/>
                <w:szCs w:val="18"/>
              </w:rPr>
            </w:pPr>
            <w:r>
              <w:rPr>
                <w:sz w:val="18"/>
                <w:szCs w:val="18"/>
              </w:rPr>
              <w:t>30</w:t>
            </w:r>
          </w:p>
        </w:tc>
        <w:tc>
          <w:tcPr>
            <w:tcW w:w="840" w:type="dxa"/>
            <w:vAlign w:val="center"/>
          </w:tcPr>
          <w:p w14:paraId="46B5BB3B">
            <w:pPr>
              <w:jc w:val="center"/>
              <w:rPr>
                <w:sz w:val="18"/>
                <w:szCs w:val="18"/>
              </w:rPr>
            </w:pPr>
            <w:r>
              <w:rPr>
                <w:sz w:val="18"/>
                <w:szCs w:val="18"/>
              </w:rPr>
              <w:t>X</w:t>
            </w:r>
          </w:p>
        </w:tc>
        <w:tc>
          <w:tcPr>
            <w:tcW w:w="945" w:type="dxa"/>
            <w:vAlign w:val="center"/>
          </w:tcPr>
          <w:p w14:paraId="483551C7">
            <w:pPr>
              <w:jc w:val="center"/>
              <w:rPr>
                <w:sz w:val="18"/>
                <w:szCs w:val="18"/>
              </w:rPr>
            </w:pPr>
            <w:r>
              <w:rPr>
                <w:sz w:val="18"/>
                <w:szCs w:val="18"/>
              </w:rPr>
              <w:t>30</w:t>
            </w:r>
          </w:p>
        </w:tc>
      </w:tr>
      <w:tr w14:paraId="7323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32EC129B">
            <w:pPr>
              <w:rPr>
                <w:sz w:val="18"/>
              </w:rPr>
            </w:pPr>
            <w:r>
              <w:rPr>
                <w:rFonts w:hint="eastAsia"/>
                <w:sz w:val="18"/>
              </w:rPr>
              <w:t>按照数据单给出电机的数据</w:t>
            </w:r>
          </w:p>
        </w:tc>
        <w:tc>
          <w:tcPr>
            <w:tcW w:w="945" w:type="dxa"/>
            <w:gridSpan w:val="3"/>
            <w:vAlign w:val="center"/>
          </w:tcPr>
          <w:p w14:paraId="30C14EE8">
            <w:pPr>
              <w:jc w:val="center"/>
              <w:rPr>
                <w:sz w:val="18"/>
                <w:szCs w:val="18"/>
              </w:rPr>
            </w:pPr>
            <w:r>
              <w:rPr>
                <w:sz w:val="18"/>
                <w:szCs w:val="18"/>
              </w:rPr>
              <w:t>X</w:t>
            </w:r>
          </w:p>
        </w:tc>
        <w:tc>
          <w:tcPr>
            <w:tcW w:w="945" w:type="dxa"/>
            <w:gridSpan w:val="2"/>
            <w:vAlign w:val="center"/>
          </w:tcPr>
          <w:p w14:paraId="660BA8A5">
            <w:pPr>
              <w:jc w:val="center"/>
              <w:rPr>
                <w:sz w:val="18"/>
                <w:szCs w:val="18"/>
              </w:rPr>
            </w:pPr>
            <w:r>
              <w:rPr>
                <w:sz w:val="18"/>
                <w:szCs w:val="18"/>
              </w:rPr>
              <w:t>30</w:t>
            </w:r>
          </w:p>
        </w:tc>
        <w:tc>
          <w:tcPr>
            <w:tcW w:w="840" w:type="dxa"/>
            <w:vAlign w:val="center"/>
          </w:tcPr>
          <w:p w14:paraId="41AFD848">
            <w:pPr>
              <w:jc w:val="center"/>
              <w:rPr>
                <w:sz w:val="18"/>
                <w:szCs w:val="18"/>
              </w:rPr>
            </w:pPr>
            <w:r>
              <w:rPr>
                <w:sz w:val="18"/>
                <w:szCs w:val="18"/>
              </w:rPr>
              <w:t>X</w:t>
            </w:r>
          </w:p>
        </w:tc>
        <w:tc>
          <w:tcPr>
            <w:tcW w:w="945" w:type="dxa"/>
            <w:vAlign w:val="center"/>
          </w:tcPr>
          <w:p w14:paraId="021A5D7E">
            <w:pPr>
              <w:jc w:val="center"/>
              <w:rPr>
                <w:sz w:val="18"/>
                <w:szCs w:val="18"/>
              </w:rPr>
            </w:pPr>
            <w:r>
              <w:rPr>
                <w:sz w:val="18"/>
                <w:szCs w:val="18"/>
              </w:rPr>
              <w:t>30</w:t>
            </w:r>
          </w:p>
        </w:tc>
      </w:tr>
      <w:tr w14:paraId="625E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2E63674F">
            <w:pPr>
              <w:rPr>
                <w:sz w:val="18"/>
              </w:rPr>
            </w:pPr>
            <w:r>
              <w:rPr>
                <w:rFonts w:hint="eastAsia"/>
                <w:sz w:val="18"/>
              </w:rPr>
              <w:t>成撬单元流程图</w:t>
            </w:r>
          </w:p>
        </w:tc>
        <w:tc>
          <w:tcPr>
            <w:tcW w:w="945" w:type="dxa"/>
            <w:gridSpan w:val="3"/>
            <w:vAlign w:val="center"/>
          </w:tcPr>
          <w:p w14:paraId="23C36714">
            <w:pPr>
              <w:jc w:val="center"/>
              <w:rPr>
                <w:sz w:val="18"/>
                <w:szCs w:val="18"/>
              </w:rPr>
            </w:pPr>
          </w:p>
        </w:tc>
        <w:tc>
          <w:tcPr>
            <w:tcW w:w="945" w:type="dxa"/>
            <w:gridSpan w:val="2"/>
            <w:vAlign w:val="center"/>
          </w:tcPr>
          <w:p w14:paraId="286AF4F3">
            <w:pPr>
              <w:jc w:val="center"/>
              <w:rPr>
                <w:sz w:val="18"/>
                <w:szCs w:val="18"/>
              </w:rPr>
            </w:pPr>
          </w:p>
        </w:tc>
        <w:tc>
          <w:tcPr>
            <w:tcW w:w="840" w:type="dxa"/>
            <w:vAlign w:val="center"/>
          </w:tcPr>
          <w:p w14:paraId="6DBE7DA3">
            <w:pPr>
              <w:jc w:val="center"/>
              <w:rPr>
                <w:sz w:val="18"/>
                <w:szCs w:val="18"/>
              </w:rPr>
            </w:pPr>
          </w:p>
        </w:tc>
        <w:tc>
          <w:tcPr>
            <w:tcW w:w="945" w:type="dxa"/>
            <w:vAlign w:val="center"/>
          </w:tcPr>
          <w:p w14:paraId="2BAA5D4D">
            <w:pPr>
              <w:jc w:val="center"/>
              <w:rPr>
                <w:sz w:val="18"/>
                <w:szCs w:val="18"/>
              </w:rPr>
            </w:pPr>
          </w:p>
        </w:tc>
      </w:tr>
      <w:tr w14:paraId="2A3A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59534578">
            <w:pPr>
              <w:rPr>
                <w:sz w:val="18"/>
              </w:rPr>
            </w:pPr>
            <w:r>
              <w:rPr>
                <w:rFonts w:hint="eastAsia"/>
                <w:sz w:val="18"/>
              </w:rPr>
              <w:t>制造、装配、安装和测试程序</w:t>
            </w:r>
          </w:p>
        </w:tc>
        <w:tc>
          <w:tcPr>
            <w:tcW w:w="945" w:type="dxa"/>
            <w:gridSpan w:val="3"/>
            <w:vAlign w:val="center"/>
          </w:tcPr>
          <w:p w14:paraId="6A343F9A">
            <w:pPr>
              <w:jc w:val="center"/>
              <w:rPr>
                <w:sz w:val="18"/>
                <w:szCs w:val="18"/>
              </w:rPr>
            </w:pPr>
            <w:r>
              <w:rPr>
                <w:sz w:val="18"/>
                <w:szCs w:val="18"/>
              </w:rPr>
              <w:t>X</w:t>
            </w:r>
          </w:p>
        </w:tc>
        <w:tc>
          <w:tcPr>
            <w:tcW w:w="945" w:type="dxa"/>
            <w:gridSpan w:val="2"/>
            <w:vAlign w:val="center"/>
          </w:tcPr>
          <w:p w14:paraId="00BD9A72">
            <w:pPr>
              <w:jc w:val="center"/>
              <w:rPr>
                <w:sz w:val="18"/>
                <w:szCs w:val="18"/>
              </w:rPr>
            </w:pPr>
            <w:r>
              <w:rPr>
                <w:sz w:val="18"/>
                <w:szCs w:val="18"/>
              </w:rPr>
              <w:t>30</w:t>
            </w:r>
          </w:p>
        </w:tc>
        <w:tc>
          <w:tcPr>
            <w:tcW w:w="840" w:type="dxa"/>
            <w:vAlign w:val="center"/>
          </w:tcPr>
          <w:p w14:paraId="1CCA5632">
            <w:pPr>
              <w:jc w:val="center"/>
              <w:rPr>
                <w:sz w:val="18"/>
                <w:szCs w:val="18"/>
              </w:rPr>
            </w:pPr>
          </w:p>
        </w:tc>
        <w:tc>
          <w:tcPr>
            <w:tcW w:w="945" w:type="dxa"/>
            <w:vAlign w:val="center"/>
          </w:tcPr>
          <w:p w14:paraId="77FD6218">
            <w:pPr>
              <w:jc w:val="center"/>
              <w:rPr>
                <w:sz w:val="18"/>
                <w:szCs w:val="18"/>
              </w:rPr>
            </w:pPr>
          </w:p>
        </w:tc>
      </w:tr>
      <w:tr w14:paraId="046C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492FCDFE">
            <w:pPr>
              <w:rPr>
                <w:sz w:val="18"/>
              </w:rPr>
            </w:pPr>
            <w:r>
              <w:rPr>
                <w:rFonts w:hint="eastAsia"/>
                <w:sz w:val="18"/>
              </w:rPr>
              <w:t>结构钢计算</w:t>
            </w:r>
          </w:p>
        </w:tc>
        <w:tc>
          <w:tcPr>
            <w:tcW w:w="945" w:type="dxa"/>
            <w:gridSpan w:val="3"/>
            <w:vAlign w:val="center"/>
          </w:tcPr>
          <w:p w14:paraId="4075D84A">
            <w:pPr>
              <w:jc w:val="center"/>
              <w:rPr>
                <w:sz w:val="18"/>
                <w:szCs w:val="18"/>
              </w:rPr>
            </w:pPr>
          </w:p>
        </w:tc>
        <w:tc>
          <w:tcPr>
            <w:tcW w:w="945" w:type="dxa"/>
            <w:gridSpan w:val="2"/>
            <w:vAlign w:val="center"/>
          </w:tcPr>
          <w:p w14:paraId="3C80F598">
            <w:pPr>
              <w:jc w:val="center"/>
              <w:rPr>
                <w:sz w:val="18"/>
                <w:szCs w:val="18"/>
              </w:rPr>
            </w:pPr>
          </w:p>
        </w:tc>
        <w:tc>
          <w:tcPr>
            <w:tcW w:w="840" w:type="dxa"/>
            <w:vAlign w:val="center"/>
          </w:tcPr>
          <w:p w14:paraId="7F2F0258">
            <w:pPr>
              <w:jc w:val="center"/>
              <w:rPr>
                <w:sz w:val="18"/>
                <w:szCs w:val="18"/>
              </w:rPr>
            </w:pPr>
          </w:p>
        </w:tc>
        <w:tc>
          <w:tcPr>
            <w:tcW w:w="945" w:type="dxa"/>
            <w:vAlign w:val="center"/>
          </w:tcPr>
          <w:p w14:paraId="47881AA9">
            <w:pPr>
              <w:jc w:val="center"/>
              <w:rPr>
                <w:sz w:val="18"/>
                <w:szCs w:val="18"/>
              </w:rPr>
            </w:pPr>
          </w:p>
        </w:tc>
      </w:tr>
      <w:tr w14:paraId="4544B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63" w:type="dxa"/>
            <w:gridSpan w:val="6"/>
          </w:tcPr>
          <w:p w14:paraId="72889E91">
            <w:pPr>
              <w:rPr>
                <w:sz w:val="18"/>
              </w:rPr>
            </w:pPr>
            <w:r>
              <w:rPr>
                <w:rFonts w:hint="eastAsia"/>
                <w:sz w:val="18"/>
              </w:rPr>
              <w:t>检验及测试计划</w:t>
            </w:r>
          </w:p>
        </w:tc>
        <w:tc>
          <w:tcPr>
            <w:tcW w:w="945" w:type="dxa"/>
            <w:gridSpan w:val="3"/>
            <w:vAlign w:val="center"/>
          </w:tcPr>
          <w:p w14:paraId="63F2D8A3">
            <w:pPr>
              <w:jc w:val="center"/>
              <w:rPr>
                <w:sz w:val="18"/>
                <w:szCs w:val="18"/>
              </w:rPr>
            </w:pPr>
            <w:r>
              <w:rPr>
                <w:sz w:val="18"/>
                <w:szCs w:val="18"/>
              </w:rPr>
              <w:t>X</w:t>
            </w:r>
          </w:p>
        </w:tc>
        <w:tc>
          <w:tcPr>
            <w:tcW w:w="945" w:type="dxa"/>
            <w:gridSpan w:val="2"/>
            <w:vAlign w:val="center"/>
          </w:tcPr>
          <w:p w14:paraId="7D77B2EC">
            <w:pPr>
              <w:jc w:val="center"/>
              <w:rPr>
                <w:sz w:val="18"/>
                <w:szCs w:val="18"/>
              </w:rPr>
            </w:pPr>
            <w:r>
              <w:rPr>
                <w:sz w:val="18"/>
                <w:szCs w:val="18"/>
              </w:rPr>
              <w:t>30</w:t>
            </w:r>
          </w:p>
        </w:tc>
        <w:tc>
          <w:tcPr>
            <w:tcW w:w="840" w:type="dxa"/>
            <w:vAlign w:val="center"/>
          </w:tcPr>
          <w:p w14:paraId="5D3CD828">
            <w:pPr>
              <w:jc w:val="center"/>
              <w:rPr>
                <w:sz w:val="18"/>
                <w:szCs w:val="18"/>
              </w:rPr>
            </w:pPr>
          </w:p>
        </w:tc>
        <w:tc>
          <w:tcPr>
            <w:tcW w:w="945" w:type="dxa"/>
            <w:vAlign w:val="center"/>
          </w:tcPr>
          <w:p w14:paraId="6135CD83">
            <w:pPr>
              <w:jc w:val="center"/>
              <w:rPr>
                <w:sz w:val="18"/>
                <w:szCs w:val="18"/>
              </w:rPr>
            </w:pPr>
          </w:p>
        </w:tc>
      </w:tr>
      <w:tr w14:paraId="2550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421A0747">
            <w:pPr>
              <w:rPr>
                <w:sz w:val="18"/>
              </w:rPr>
            </w:pPr>
            <w:r>
              <w:rPr>
                <w:rFonts w:hint="eastAsia"/>
                <w:sz w:val="18"/>
              </w:rPr>
              <w:t>带有零配件编号和说明及部件分解图的详细零配件清单</w:t>
            </w:r>
          </w:p>
        </w:tc>
        <w:tc>
          <w:tcPr>
            <w:tcW w:w="840" w:type="dxa"/>
            <w:vAlign w:val="center"/>
          </w:tcPr>
          <w:p w14:paraId="063E9F9E">
            <w:pPr>
              <w:jc w:val="center"/>
              <w:rPr>
                <w:sz w:val="18"/>
              </w:rPr>
            </w:pPr>
            <w:r>
              <w:rPr>
                <w:sz w:val="18"/>
              </w:rPr>
              <w:t>X</w:t>
            </w:r>
          </w:p>
        </w:tc>
        <w:tc>
          <w:tcPr>
            <w:tcW w:w="945" w:type="dxa"/>
            <w:vAlign w:val="center"/>
          </w:tcPr>
          <w:p w14:paraId="03A3E1EB">
            <w:pPr>
              <w:jc w:val="center"/>
              <w:rPr>
                <w:sz w:val="18"/>
              </w:rPr>
            </w:pPr>
            <w:r>
              <w:rPr>
                <w:sz w:val="18"/>
              </w:rPr>
              <w:t>60</w:t>
            </w:r>
          </w:p>
        </w:tc>
      </w:tr>
      <w:tr w14:paraId="5F80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21E4F8DE">
            <w:pPr>
              <w:rPr>
                <w:sz w:val="18"/>
              </w:rPr>
            </w:pPr>
            <w:r>
              <w:rPr>
                <w:rFonts w:hint="eastAsia"/>
                <w:sz w:val="18"/>
              </w:rPr>
              <w:t>推荐的两年正常运行所需的零配件及价格</w:t>
            </w:r>
          </w:p>
        </w:tc>
        <w:tc>
          <w:tcPr>
            <w:tcW w:w="840" w:type="dxa"/>
            <w:vAlign w:val="center"/>
          </w:tcPr>
          <w:p w14:paraId="55843EDF">
            <w:pPr>
              <w:jc w:val="center"/>
              <w:rPr>
                <w:sz w:val="18"/>
              </w:rPr>
            </w:pPr>
            <w:r>
              <w:rPr>
                <w:sz w:val="18"/>
              </w:rPr>
              <w:t>X</w:t>
            </w:r>
          </w:p>
        </w:tc>
        <w:tc>
          <w:tcPr>
            <w:tcW w:w="945" w:type="dxa"/>
            <w:vAlign w:val="center"/>
          </w:tcPr>
          <w:p w14:paraId="64662727">
            <w:pPr>
              <w:jc w:val="center"/>
              <w:rPr>
                <w:sz w:val="18"/>
              </w:rPr>
            </w:pPr>
            <w:r>
              <w:rPr>
                <w:sz w:val="18"/>
              </w:rPr>
              <w:t>30</w:t>
            </w:r>
          </w:p>
        </w:tc>
      </w:tr>
      <w:tr w14:paraId="4A48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28F97521">
            <w:pPr>
              <w:rPr>
                <w:sz w:val="18"/>
              </w:rPr>
            </w:pPr>
            <w:r>
              <w:rPr>
                <w:rFonts w:hint="eastAsia"/>
                <w:sz w:val="18"/>
              </w:rPr>
              <w:t>数据单和经过检定的性能曲线</w:t>
            </w:r>
          </w:p>
        </w:tc>
        <w:tc>
          <w:tcPr>
            <w:tcW w:w="840" w:type="dxa"/>
            <w:vAlign w:val="center"/>
          </w:tcPr>
          <w:p w14:paraId="457D909B">
            <w:pPr>
              <w:jc w:val="center"/>
              <w:rPr>
                <w:sz w:val="18"/>
              </w:rPr>
            </w:pPr>
          </w:p>
        </w:tc>
        <w:tc>
          <w:tcPr>
            <w:tcW w:w="945" w:type="dxa"/>
            <w:vAlign w:val="center"/>
          </w:tcPr>
          <w:p w14:paraId="4E373F3D">
            <w:pPr>
              <w:jc w:val="center"/>
              <w:rPr>
                <w:sz w:val="18"/>
              </w:rPr>
            </w:pPr>
          </w:p>
        </w:tc>
      </w:tr>
      <w:tr w14:paraId="310D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5493994D">
            <w:pPr>
              <w:rPr>
                <w:sz w:val="18"/>
              </w:rPr>
            </w:pPr>
            <w:r>
              <w:rPr>
                <w:rFonts w:hint="eastAsia"/>
                <w:sz w:val="18"/>
              </w:rPr>
              <w:t>材料检验报告</w:t>
            </w:r>
          </w:p>
        </w:tc>
        <w:tc>
          <w:tcPr>
            <w:tcW w:w="840" w:type="dxa"/>
            <w:vAlign w:val="center"/>
          </w:tcPr>
          <w:p w14:paraId="74EE75AE">
            <w:pPr>
              <w:jc w:val="center"/>
              <w:rPr>
                <w:sz w:val="18"/>
              </w:rPr>
            </w:pPr>
            <w:r>
              <w:rPr>
                <w:sz w:val="18"/>
              </w:rPr>
              <w:t>X</w:t>
            </w:r>
          </w:p>
        </w:tc>
        <w:tc>
          <w:tcPr>
            <w:tcW w:w="945" w:type="dxa"/>
            <w:vAlign w:val="center"/>
          </w:tcPr>
          <w:p w14:paraId="009EA6FE">
            <w:pPr>
              <w:jc w:val="center"/>
              <w:rPr>
                <w:sz w:val="18"/>
              </w:rPr>
            </w:pPr>
            <w:r>
              <w:rPr>
                <w:sz w:val="18"/>
              </w:rPr>
              <w:t>60</w:t>
            </w:r>
          </w:p>
        </w:tc>
      </w:tr>
      <w:tr w14:paraId="432F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0842344C">
            <w:pPr>
              <w:rPr>
                <w:sz w:val="18"/>
              </w:rPr>
            </w:pPr>
            <w:r>
              <w:rPr>
                <w:rFonts w:hint="eastAsia"/>
                <w:sz w:val="18"/>
              </w:rPr>
              <w:t>铭牌模写或速写</w:t>
            </w:r>
          </w:p>
        </w:tc>
        <w:tc>
          <w:tcPr>
            <w:tcW w:w="840" w:type="dxa"/>
            <w:vAlign w:val="center"/>
          </w:tcPr>
          <w:p w14:paraId="663BEF21">
            <w:pPr>
              <w:jc w:val="center"/>
              <w:rPr>
                <w:sz w:val="18"/>
              </w:rPr>
            </w:pPr>
          </w:p>
        </w:tc>
        <w:tc>
          <w:tcPr>
            <w:tcW w:w="945" w:type="dxa"/>
            <w:vAlign w:val="center"/>
          </w:tcPr>
          <w:p w14:paraId="5A4DC086">
            <w:pPr>
              <w:jc w:val="center"/>
              <w:rPr>
                <w:sz w:val="18"/>
              </w:rPr>
            </w:pPr>
          </w:p>
        </w:tc>
      </w:tr>
      <w:tr w14:paraId="28F4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18C3FC65">
            <w:pPr>
              <w:rPr>
                <w:sz w:val="18"/>
              </w:rPr>
            </w:pPr>
            <w:r>
              <w:rPr>
                <w:rFonts w:hint="eastAsia"/>
                <w:sz w:val="18"/>
              </w:rPr>
              <w:t>经过检定的工厂测试结果</w:t>
            </w:r>
          </w:p>
        </w:tc>
        <w:tc>
          <w:tcPr>
            <w:tcW w:w="840" w:type="dxa"/>
            <w:vAlign w:val="center"/>
          </w:tcPr>
          <w:p w14:paraId="48818714">
            <w:pPr>
              <w:jc w:val="center"/>
              <w:rPr>
                <w:sz w:val="18"/>
              </w:rPr>
            </w:pPr>
            <w:r>
              <w:rPr>
                <w:sz w:val="18"/>
              </w:rPr>
              <w:t>X</w:t>
            </w:r>
          </w:p>
        </w:tc>
        <w:tc>
          <w:tcPr>
            <w:tcW w:w="945" w:type="dxa"/>
            <w:vAlign w:val="center"/>
          </w:tcPr>
          <w:p w14:paraId="506CD89C">
            <w:pPr>
              <w:jc w:val="center"/>
              <w:rPr>
                <w:sz w:val="18"/>
              </w:rPr>
            </w:pPr>
            <w:r>
              <w:rPr>
                <w:sz w:val="18"/>
              </w:rPr>
              <w:t>60</w:t>
            </w:r>
          </w:p>
        </w:tc>
      </w:tr>
      <w:tr w14:paraId="0C39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5DB45F38">
            <w:pPr>
              <w:rPr>
                <w:sz w:val="18"/>
              </w:rPr>
            </w:pPr>
            <w:r>
              <w:rPr>
                <w:rFonts w:hint="eastAsia"/>
                <w:sz w:val="18"/>
              </w:rPr>
              <w:t>装卸、运输或装配图纸</w:t>
            </w:r>
          </w:p>
        </w:tc>
        <w:tc>
          <w:tcPr>
            <w:tcW w:w="840" w:type="dxa"/>
            <w:vAlign w:val="center"/>
          </w:tcPr>
          <w:p w14:paraId="0C84350C">
            <w:pPr>
              <w:jc w:val="center"/>
              <w:rPr>
                <w:sz w:val="18"/>
              </w:rPr>
            </w:pPr>
          </w:p>
        </w:tc>
        <w:tc>
          <w:tcPr>
            <w:tcW w:w="945" w:type="dxa"/>
            <w:vAlign w:val="center"/>
          </w:tcPr>
          <w:p w14:paraId="7AC51ACF">
            <w:pPr>
              <w:jc w:val="center"/>
              <w:rPr>
                <w:sz w:val="18"/>
              </w:rPr>
            </w:pPr>
          </w:p>
        </w:tc>
      </w:tr>
      <w:tr w14:paraId="3812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06A88B7B">
            <w:pPr>
              <w:rPr>
                <w:sz w:val="18"/>
              </w:rPr>
            </w:pPr>
            <w:r>
              <w:rPr>
                <w:rFonts w:hint="eastAsia"/>
                <w:sz w:val="18"/>
              </w:rPr>
              <w:t>安装、操作、维修手册（</w:t>
            </w:r>
            <w:r>
              <w:rPr>
                <w:sz w:val="18"/>
              </w:rPr>
              <w:t>6</w:t>
            </w:r>
            <w:r>
              <w:rPr>
                <w:rFonts w:hint="eastAsia"/>
                <w:sz w:val="18"/>
              </w:rPr>
              <w:t>份）</w:t>
            </w:r>
          </w:p>
        </w:tc>
        <w:tc>
          <w:tcPr>
            <w:tcW w:w="840" w:type="dxa"/>
            <w:vAlign w:val="center"/>
          </w:tcPr>
          <w:p w14:paraId="4B9C923E">
            <w:pPr>
              <w:jc w:val="center"/>
              <w:rPr>
                <w:sz w:val="18"/>
              </w:rPr>
            </w:pPr>
            <w:r>
              <w:rPr>
                <w:sz w:val="18"/>
              </w:rPr>
              <w:t>X</w:t>
            </w:r>
          </w:p>
        </w:tc>
        <w:tc>
          <w:tcPr>
            <w:tcW w:w="945" w:type="dxa"/>
            <w:vAlign w:val="center"/>
          </w:tcPr>
          <w:p w14:paraId="120D171A">
            <w:pPr>
              <w:jc w:val="center"/>
              <w:rPr>
                <w:sz w:val="18"/>
              </w:rPr>
            </w:pPr>
            <w:r>
              <w:rPr>
                <w:sz w:val="18"/>
              </w:rPr>
              <w:t>60</w:t>
            </w:r>
          </w:p>
        </w:tc>
      </w:tr>
      <w:tr w14:paraId="4C4C3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3A8C2E1E">
            <w:pPr>
              <w:rPr>
                <w:sz w:val="18"/>
              </w:rPr>
            </w:pPr>
            <w:r>
              <w:rPr>
                <w:rFonts w:hint="eastAsia"/>
                <w:sz w:val="18"/>
              </w:rPr>
              <w:t>设置</w:t>
            </w:r>
            <w:r>
              <w:rPr>
                <w:sz w:val="18"/>
              </w:rPr>
              <w:t>/</w:t>
            </w:r>
            <w:r>
              <w:rPr>
                <w:rFonts w:hint="eastAsia"/>
                <w:sz w:val="18"/>
              </w:rPr>
              <w:t>调校执行机构转矩开关</w:t>
            </w:r>
          </w:p>
        </w:tc>
        <w:tc>
          <w:tcPr>
            <w:tcW w:w="840" w:type="dxa"/>
            <w:vAlign w:val="center"/>
          </w:tcPr>
          <w:p w14:paraId="633532EB">
            <w:pPr>
              <w:jc w:val="center"/>
              <w:rPr>
                <w:sz w:val="18"/>
              </w:rPr>
            </w:pPr>
            <w:r>
              <w:rPr>
                <w:sz w:val="18"/>
              </w:rPr>
              <w:t>X</w:t>
            </w:r>
          </w:p>
        </w:tc>
        <w:tc>
          <w:tcPr>
            <w:tcW w:w="945" w:type="dxa"/>
            <w:vAlign w:val="center"/>
          </w:tcPr>
          <w:p w14:paraId="013C162C">
            <w:pPr>
              <w:jc w:val="center"/>
              <w:rPr>
                <w:sz w:val="18"/>
              </w:rPr>
            </w:pPr>
            <w:r>
              <w:rPr>
                <w:sz w:val="18"/>
              </w:rPr>
              <w:t>60</w:t>
            </w:r>
          </w:p>
        </w:tc>
      </w:tr>
      <w:tr w14:paraId="7F9A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353" w:type="dxa"/>
            <w:gridSpan w:val="11"/>
          </w:tcPr>
          <w:p w14:paraId="51D5115D">
            <w:pPr>
              <w:rPr>
                <w:sz w:val="18"/>
              </w:rPr>
            </w:pPr>
            <w:r>
              <w:rPr>
                <w:sz w:val="18"/>
              </w:rPr>
              <w:t>ASME</w:t>
            </w:r>
            <w:r>
              <w:rPr>
                <w:rFonts w:hint="eastAsia"/>
                <w:sz w:val="18"/>
              </w:rPr>
              <w:t>标记证书</w:t>
            </w:r>
          </w:p>
        </w:tc>
        <w:tc>
          <w:tcPr>
            <w:tcW w:w="840" w:type="dxa"/>
            <w:vAlign w:val="center"/>
          </w:tcPr>
          <w:p w14:paraId="2D99E3F0">
            <w:pPr>
              <w:jc w:val="center"/>
              <w:rPr>
                <w:sz w:val="18"/>
              </w:rPr>
            </w:pPr>
          </w:p>
        </w:tc>
        <w:tc>
          <w:tcPr>
            <w:tcW w:w="945" w:type="dxa"/>
            <w:vAlign w:val="center"/>
          </w:tcPr>
          <w:p w14:paraId="5E294466">
            <w:pPr>
              <w:jc w:val="center"/>
              <w:rPr>
                <w:sz w:val="18"/>
              </w:rPr>
            </w:pPr>
          </w:p>
        </w:tc>
      </w:tr>
      <w:tr w14:paraId="22EE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138" w:type="dxa"/>
            <w:gridSpan w:val="13"/>
          </w:tcPr>
          <w:p w14:paraId="5CE3B9A1">
            <w:pPr>
              <w:rPr>
                <w:sz w:val="18"/>
              </w:rPr>
            </w:pPr>
            <w:r>
              <w:rPr>
                <w:rFonts w:hint="eastAsia"/>
                <w:sz w:val="18"/>
              </w:rPr>
              <w:t>图纸及数据资料方面的要求：</w:t>
            </w:r>
          </w:p>
        </w:tc>
      </w:tr>
      <w:tr w14:paraId="28B9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28" w:type="dxa"/>
          </w:tcPr>
          <w:p w14:paraId="1867CA39">
            <w:pPr>
              <w:rPr>
                <w:sz w:val="18"/>
              </w:rPr>
            </w:pPr>
            <w:r>
              <w:rPr>
                <w:rFonts w:hint="eastAsia"/>
                <w:sz w:val="18"/>
              </w:rPr>
              <w:t>投标书要求的项目</w:t>
            </w:r>
          </w:p>
        </w:tc>
        <w:tc>
          <w:tcPr>
            <w:tcW w:w="360" w:type="dxa"/>
          </w:tcPr>
          <w:p w14:paraId="26B3468A">
            <w:pPr>
              <w:rPr>
                <w:sz w:val="18"/>
              </w:rPr>
            </w:pPr>
            <w:r>
              <w:rPr>
                <w:sz w:val="18"/>
              </w:rPr>
              <w:t>2</w:t>
            </w:r>
          </w:p>
        </w:tc>
        <w:tc>
          <w:tcPr>
            <w:tcW w:w="2520" w:type="dxa"/>
            <w:gridSpan w:val="5"/>
          </w:tcPr>
          <w:p w14:paraId="6C1CECC2">
            <w:pPr>
              <w:rPr>
                <w:sz w:val="18"/>
              </w:rPr>
            </w:pPr>
            <w:r>
              <w:rPr>
                <w:rFonts w:hint="eastAsia"/>
                <w:sz w:val="18"/>
              </w:rPr>
              <w:t>折叠的印刷品</w:t>
            </w:r>
            <w:r>
              <w:rPr>
                <w:sz w:val="18"/>
              </w:rPr>
              <w:t>(22</w:t>
            </w:r>
            <w:r>
              <w:rPr>
                <w:rFonts w:hint="eastAsia" w:ascii="宋体"/>
                <w:sz w:val="18"/>
              </w:rPr>
              <w:t>″×</w:t>
            </w:r>
            <w:r>
              <w:rPr>
                <w:rFonts w:ascii="宋体"/>
                <w:sz w:val="18"/>
              </w:rPr>
              <w:t>34</w:t>
            </w:r>
            <w:r>
              <w:rPr>
                <w:rFonts w:hint="eastAsia" w:ascii="宋体"/>
                <w:sz w:val="18"/>
              </w:rPr>
              <w:t>″</w:t>
            </w:r>
            <w:r>
              <w:rPr>
                <w:rFonts w:ascii="宋体"/>
                <w:sz w:val="18"/>
              </w:rPr>
              <w:t>)</w:t>
            </w:r>
          </w:p>
        </w:tc>
        <w:tc>
          <w:tcPr>
            <w:tcW w:w="360" w:type="dxa"/>
          </w:tcPr>
          <w:p w14:paraId="5942ECDF">
            <w:pPr>
              <w:rPr>
                <w:sz w:val="18"/>
              </w:rPr>
            </w:pPr>
            <w:r>
              <w:rPr>
                <w:sz w:val="18"/>
              </w:rPr>
              <w:t>-</w:t>
            </w:r>
          </w:p>
        </w:tc>
        <w:tc>
          <w:tcPr>
            <w:tcW w:w="3270" w:type="dxa"/>
            <w:gridSpan w:val="5"/>
          </w:tcPr>
          <w:p w14:paraId="475E3724">
            <w:pPr>
              <w:rPr>
                <w:sz w:val="18"/>
              </w:rPr>
            </w:pPr>
            <w:r>
              <w:rPr>
                <w:rFonts w:hint="eastAsia"/>
                <w:sz w:val="18"/>
              </w:rPr>
              <w:t>碾压粘接图</w:t>
            </w:r>
            <w:r>
              <w:rPr>
                <w:sz w:val="18"/>
              </w:rPr>
              <w:t>(22</w:t>
            </w:r>
            <w:r>
              <w:rPr>
                <w:rFonts w:hint="eastAsia" w:ascii="宋体"/>
                <w:sz w:val="18"/>
              </w:rPr>
              <w:t>″×</w:t>
            </w:r>
            <w:r>
              <w:rPr>
                <w:rFonts w:ascii="宋体"/>
                <w:sz w:val="18"/>
              </w:rPr>
              <w:t>34</w:t>
            </w:r>
            <w:r>
              <w:rPr>
                <w:rFonts w:hint="eastAsia" w:ascii="宋体"/>
                <w:sz w:val="18"/>
              </w:rPr>
              <w:t>″</w:t>
            </w:r>
            <w:r>
              <w:rPr>
                <w:rFonts w:ascii="宋体"/>
                <w:sz w:val="18"/>
              </w:rPr>
              <w:t>)</w:t>
            </w:r>
          </w:p>
        </w:tc>
      </w:tr>
      <w:tr w14:paraId="3456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28" w:type="dxa"/>
          </w:tcPr>
          <w:p w14:paraId="14D7784B">
            <w:pPr>
              <w:rPr>
                <w:sz w:val="18"/>
              </w:rPr>
            </w:pPr>
            <w:r>
              <w:rPr>
                <w:rFonts w:hint="eastAsia"/>
                <w:sz w:val="18"/>
              </w:rPr>
              <w:t>用于提交供批准所要求的项目</w:t>
            </w:r>
          </w:p>
        </w:tc>
        <w:tc>
          <w:tcPr>
            <w:tcW w:w="360" w:type="dxa"/>
          </w:tcPr>
          <w:p w14:paraId="349A6AB8">
            <w:pPr>
              <w:rPr>
                <w:sz w:val="18"/>
              </w:rPr>
            </w:pPr>
            <w:r>
              <w:rPr>
                <w:sz w:val="18"/>
              </w:rPr>
              <w:t>3</w:t>
            </w:r>
          </w:p>
        </w:tc>
        <w:tc>
          <w:tcPr>
            <w:tcW w:w="2520" w:type="dxa"/>
            <w:gridSpan w:val="5"/>
          </w:tcPr>
          <w:p w14:paraId="3545853E">
            <w:pPr>
              <w:rPr>
                <w:sz w:val="18"/>
              </w:rPr>
            </w:pPr>
            <w:r>
              <w:rPr>
                <w:rFonts w:hint="eastAsia"/>
                <w:sz w:val="18"/>
              </w:rPr>
              <w:t>折叠的印刷品</w:t>
            </w:r>
            <w:r>
              <w:rPr>
                <w:sz w:val="18"/>
              </w:rPr>
              <w:t>(11</w:t>
            </w:r>
            <w:r>
              <w:rPr>
                <w:rFonts w:hint="eastAsia" w:ascii="宋体"/>
                <w:sz w:val="18"/>
              </w:rPr>
              <w:t>″×</w:t>
            </w:r>
            <w:r>
              <w:rPr>
                <w:rFonts w:ascii="宋体"/>
                <w:sz w:val="18"/>
              </w:rPr>
              <w:t>17</w:t>
            </w:r>
            <w:r>
              <w:rPr>
                <w:rFonts w:hint="eastAsia" w:ascii="宋体"/>
                <w:sz w:val="18"/>
              </w:rPr>
              <w:t>″</w:t>
            </w:r>
            <w:r>
              <w:rPr>
                <w:rFonts w:ascii="宋体"/>
                <w:sz w:val="18"/>
              </w:rPr>
              <w:t>)</w:t>
            </w:r>
          </w:p>
        </w:tc>
        <w:tc>
          <w:tcPr>
            <w:tcW w:w="360" w:type="dxa"/>
          </w:tcPr>
          <w:p w14:paraId="0041DB68">
            <w:pPr>
              <w:rPr>
                <w:sz w:val="18"/>
              </w:rPr>
            </w:pPr>
            <w:r>
              <w:rPr>
                <w:sz w:val="18"/>
              </w:rPr>
              <w:t>4</w:t>
            </w:r>
          </w:p>
        </w:tc>
        <w:tc>
          <w:tcPr>
            <w:tcW w:w="3270" w:type="dxa"/>
            <w:gridSpan w:val="5"/>
          </w:tcPr>
          <w:p w14:paraId="21872BC7">
            <w:pPr>
              <w:rPr>
                <w:sz w:val="18"/>
              </w:rPr>
            </w:pPr>
            <w:r>
              <w:rPr>
                <w:rFonts w:hint="eastAsia"/>
                <w:sz w:val="18"/>
              </w:rPr>
              <w:t>碾压粘接图</w:t>
            </w:r>
            <w:r>
              <w:rPr>
                <w:sz w:val="18"/>
              </w:rPr>
              <w:t>(22</w:t>
            </w:r>
            <w:r>
              <w:rPr>
                <w:rFonts w:hint="eastAsia" w:ascii="宋体"/>
                <w:sz w:val="18"/>
              </w:rPr>
              <w:t>″×</w:t>
            </w:r>
            <w:r>
              <w:rPr>
                <w:rFonts w:ascii="宋体"/>
                <w:sz w:val="18"/>
              </w:rPr>
              <w:t>34</w:t>
            </w:r>
            <w:r>
              <w:rPr>
                <w:rFonts w:hint="eastAsia" w:ascii="宋体"/>
                <w:sz w:val="18"/>
              </w:rPr>
              <w:t>″</w:t>
            </w:r>
            <w:r>
              <w:rPr>
                <w:rFonts w:ascii="宋体"/>
                <w:sz w:val="18"/>
              </w:rPr>
              <w:t>)</w:t>
            </w:r>
          </w:p>
        </w:tc>
      </w:tr>
      <w:tr w14:paraId="3871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28" w:type="dxa"/>
          </w:tcPr>
          <w:p w14:paraId="65299BC4">
            <w:pPr>
              <w:rPr>
                <w:sz w:val="18"/>
              </w:rPr>
            </w:pPr>
            <w:r>
              <w:rPr>
                <w:rFonts w:hint="eastAsia"/>
                <w:sz w:val="18"/>
              </w:rPr>
              <w:t>需要提交证明图纸的项目</w:t>
            </w:r>
          </w:p>
        </w:tc>
        <w:tc>
          <w:tcPr>
            <w:tcW w:w="360" w:type="dxa"/>
          </w:tcPr>
          <w:p w14:paraId="74DB75C3">
            <w:pPr>
              <w:rPr>
                <w:sz w:val="18"/>
              </w:rPr>
            </w:pPr>
            <w:r>
              <w:rPr>
                <w:sz w:val="18"/>
              </w:rPr>
              <w:t>3</w:t>
            </w:r>
          </w:p>
        </w:tc>
        <w:tc>
          <w:tcPr>
            <w:tcW w:w="2520" w:type="dxa"/>
            <w:gridSpan w:val="5"/>
          </w:tcPr>
          <w:p w14:paraId="509D2318">
            <w:pPr>
              <w:rPr>
                <w:sz w:val="18"/>
              </w:rPr>
            </w:pPr>
            <w:r>
              <w:rPr>
                <w:rFonts w:hint="eastAsia"/>
                <w:sz w:val="18"/>
              </w:rPr>
              <w:t>折叠的印刷品</w:t>
            </w:r>
            <w:r>
              <w:rPr>
                <w:sz w:val="18"/>
              </w:rPr>
              <w:t>(11</w:t>
            </w:r>
            <w:r>
              <w:rPr>
                <w:rFonts w:hint="eastAsia" w:ascii="宋体"/>
                <w:sz w:val="18"/>
              </w:rPr>
              <w:t>″×</w:t>
            </w:r>
            <w:r>
              <w:rPr>
                <w:rFonts w:ascii="宋体"/>
                <w:sz w:val="18"/>
              </w:rPr>
              <w:t>17</w:t>
            </w:r>
            <w:r>
              <w:rPr>
                <w:rFonts w:hint="eastAsia" w:ascii="宋体"/>
                <w:sz w:val="18"/>
              </w:rPr>
              <w:t>″</w:t>
            </w:r>
            <w:r>
              <w:rPr>
                <w:rFonts w:ascii="宋体"/>
                <w:sz w:val="18"/>
              </w:rPr>
              <w:t>)</w:t>
            </w:r>
          </w:p>
        </w:tc>
        <w:tc>
          <w:tcPr>
            <w:tcW w:w="360" w:type="dxa"/>
          </w:tcPr>
          <w:p w14:paraId="6377E9F5">
            <w:pPr>
              <w:rPr>
                <w:sz w:val="18"/>
              </w:rPr>
            </w:pPr>
            <w:r>
              <w:rPr>
                <w:sz w:val="18"/>
              </w:rPr>
              <w:t>4</w:t>
            </w:r>
          </w:p>
        </w:tc>
        <w:tc>
          <w:tcPr>
            <w:tcW w:w="3270" w:type="dxa"/>
            <w:gridSpan w:val="5"/>
          </w:tcPr>
          <w:p w14:paraId="78383DDA">
            <w:pPr>
              <w:rPr>
                <w:sz w:val="18"/>
              </w:rPr>
            </w:pPr>
            <w:r>
              <w:rPr>
                <w:rFonts w:hint="eastAsia"/>
                <w:sz w:val="18"/>
              </w:rPr>
              <w:t>碾压粘接图</w:t>
            </w:r>
            <w:r>
              <w:rPr>
                <w:sz w:val="18"/>
              </w:rPr>
              <w:t>(22</w:t>
            </w:r>
            <w:r>
              <w:rPr>
                <w:rFonts w:hint="eastAsia" w:ascii="宋体"/>
                <w:sz w:val="18"/>
              </w:rPr>
              <w:t>″×</w:t>
            </w:r>
            <w:r>
              <w:rPr>
                <w:rFonts w:ascii="宋体"/>
                <w:sz w:val="18"/>
              </w:rPr>
              <w:t>34</w:t>
            </w:r>
            <w:r>
              <w:rPr>
                <w:rFonts w:hint="eastAsia" w:ascii="宋体"/>
                <w:sz w:val="18"/>
              </w:rPr>
              <w:t>″</w:t>
            </w:r>
            <w:r>
              <w:rPr>
                <w:rFonts w:ascii="宋体"/>
                <w:sz w:val="18"/>
              </w:rPr>
              <w:t>)</w:t>
            </w:r>
          </w:p>
        </w:tc>
      </w:tr>
      <w:tr w14:paraId="3887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138" w:type="dxa"/>
            <w:gridSpan w:val="13"/>
          </w:tcPr>
          <w:p w14:paraId="60EDC2BA">
            <w:pPr>
              <w:rPr>
                <w:sz w:val="18"/>
              </w:rPr>
            </w:pPr>
            <w:r>
              <w:rPr>
                <w:rFonts w:hint="eastAsia"/>
                <w:sz w:val="18"/>
              </w:rPr>
              <w:t>注意：</w:t>
            </w:r>
          </w:p>
          <w:p w14:paraId="06D42AB0">
            <w:pPr>
              <w:rPr>
                <w:sz w:val="18"/>
              </w:rPr>
            </w:pPr>
            <w:r>
              <w:rPr>
                <w:rFonts w:hint="eastAsia"/>
                <w:sz w:val="18"/>
              </w:rPr>
              <w:t>由制造商填写表格并和报价单一块返回</w:t>
            </w:r>
            <w:r>
              <w:rPr>
                <w:sz w:val="18"/>
              </w:rPr>
              <w:t xml:space="preserve">          </w:t>
            </w:r>
            <w:r>
              <w:rPr>
                <w:rFonts w:hint="eastAsia"/>
                <w:sz w:val="18"/>
              </w:rPr>
              <w:t>公司名</w:t>
            </w:r>
            <w:r>
              <w:rPr>
                <w:sz w:val="18"/>
                <w:u w:val="single"/>
              </w:rPr>
              <w:t xml:space="preserve">                       </w:t>
            </w:r>
          </w:p>
          <w:p w14:paraId="7D22D592">
            <w:pPr>
              <w:rPr>
                <w:sz w:val="18"/>
              </w:rPr>
            </w:pPr>
          </w:p>
          <w:p w14:paraId="1C859403">
            <w:pPr>
              <w:rPr>
                <w:sz w:val="18"/>
              </w:rPr>
            </w:pPr>
            <w:r>
              <w:rPr>
                <w:sz w:val="18"/>
              </w:rPr>
              <w:t xml:space="preserve">                                            </w:t>
            </w:r>
            <w:r>
              <w:rPr>
                <w:rFonts w:hint="eastAsia"/>
                <w:sz w:val="18"/>
              </w:rPr>
              <w:t>提交人</w:t>
            </w:r>
            <w:r>
              <w:rPr>
                <w:sz w:val="18"/>
                <w:u w:val="single"/>
              </w:rPr>
              <w:t xml:space="preserve">                       </w:t>
            </w:r>
            <w:r>
              <w:rPr>
                <w:rFonts w:hint="eastAsia"/>
                <w:sz w:val="18"/>
              </w:rPr>
              <w:t>日期</w:t>
            </w:r>
            <w:r>
              <w:rPr>
                <w:sz w:val="18"/>
                <w:u w:val="single"/>
              </w:rPr>
              <w:t xml:space="preserve">            </w:t>
            </w:r>
          </w:p>
        </w:tc>
      </w:tr>
    </w:tbl>
    <w:p w14:paraId="74CE746B">
      <w:pPr>
        <w:tabs>
          <w:tab w:val="left" w:pos="425"/>
          <w:tab w:val="left" w:pos="567"/>
        </w:tabs>
        <w:suppressAutoHyphens/>
        <w:spacing w:line="360" w:lineRule="auto"/>
        <w:ind w:firstLine="500" w:firstLineChars="200"/>
        <w:rPr>
          <w:rFonts w:ascii="宋体" w:hAnsi="宋体"/>
          <w:spacing w:val="20"/>
        </w:rPr>
      </w:pPr>
    </w:p>
    <w:p w14:paraId="61682485">
      <w:pPr>
        <w:rPr>
          <w:rFonts w:ascii="宋体" w:hAnsi="宋体"/>
        </w:rPr>
      </w:pPr>
    </w:p>
    <w:p w14:paraId="0CD458A6">
      <w:pPr>
        <w:rPr>
          <w:rFonts w:ascii="宋体" w:hAnsi="宋体"/>
        </w:rPr>
      </w:pPr>
    </w:p>
    <w:p w14:paraId="3B5DB3E3">
      <w:pPr>
        <w:rPr>
          <w:rFonts w:ascii="宋体" w:hAnsi="宋体"/>
        </w:rPr>
      </w:pPr>
    </w:p>
    <w:p w14:paraId="2FB6D425">
      <w:pPr>
        <w:rPr>
          <w:rFonts w:ascii="宋体" w:hAnsi="宋体"/>
        </w:rPr>
      </w:pPr>
    </w:p>
    <w:p w14:paraId="25D7F386">
      <w:pPr>
        <w:rPr>
          <w:rFonts w:ascii="宋体" w:hAnsi="宋体"/>
        </w:rPr>
      </w:pPr>
    </w:p>
    <w:p w14:paraId="4CFD3166">
      <w:pPr>
        <w:rPr>
          <w:rFonts w:ascii="宋体" w:hAnsi="宋体"/>
        </w:rPr>
        <w:sectPr>
          <w:pgSz w:w="11906" w:h="16838"/>
          <w:pgMar w:top="1247" w:right="1531" w:bottom="1247" w:left="1531" w:header="779" w:footer="752" w:gutter="0"/>
          <w:cols w:space="720" w:num="1"/>
          <w:titlePg/>
          <w:docGrid w:type="linesAndChars" w:linePitch="312" w:charSpace="0"/>
        </w:sectPr>
      </w:pPr>
    </w:p>
    <w:tbl>
      <w:tblPr>
        <w:tblStyle w:val="36"/>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4260"/>
        <w:gridCol w:w="1995"/>
        <w:gridCol w:w="735"/>
        <w:gridCol w:w="840"/>
        <w:gridCol w:w="735"/>
      </w:tblGrid>
      <w:tr w14:paraId="511A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28" w:type="dxa"/>
            <w:gridSpan w:val="2"/>
            <w:vMerge w:val="restart"/>
            <w:tcBorders>
              <w:top w:val="nil"/>
              <w:left w:val="nil"/>
              <w:bottom w:val="nil"/>
              <w:right w:val="nil"/>
            </w:tcBorders>
            <w:vAlign w:val="center"/>
          </w:tcPr>
          <w:p w14:paraId="18972C5F">
            <w:pPr>
              <w:jc w:val="center"/>
            </w:pPr>
            <w:r>
              <w:rPr>
                <w:b/>
              </w:rPr>
              <w:br w:type="page"/>
            </w:r>
            <w:r>
              <w:br w:type="page"/>
            </w:r>
            <w:r>
              <w:rPr>
                <w:rFonts w:hint="eastAsia"/>
                <w:b/>
              </w:rPr>
              <w:t>执行机构附表</w:t>
            </w:r>
            <w:r>
              <w:rPr>
                <w:b/>
              </w:rPr>
              <w:t xml:space="preserve">  B</w:t>
            </w:r>
          </w:p>
        </w:tc>
        <w:tc>
          <w:tcPr>
            <w:tcW w:w="1995" w:type="dxa"/>
            <w:tcBorders>
              <w:top w:val="nil"/>
              <w:left w:val="nil"/>
              <w:bottom w:val="nil"/>
              <w:right w:val="nil"/>
            </w:tcBorders>
            <w:vAlign w:val="center"/>
          </w:tcPr>
          <w:p w14:paraId="64C705CF">
            <w:pPr>
              <w:jc w:val="right"/>
            </w:pPr>
          </w:p>
        </w:tc>
        <w:tc>
          <w:tcPr>
            <w:tcW w:w="2310" w:type="dxa"/>
            <w:gridSpan w:val="3"/>
            <w:tcBorders>
              <w:top w:val="nil"/>
              <w:left w:val="nil"/>
              <w:bottom w:val="nil"/>
              <w:right w:val="nil"/>
            </w:tcBorders>
            <w:vAlign w:val="center"/>
          </w:tcPr>
          <w:p w14:paraId="2E57BED2">
            <w:pPr>
              <w:jc w:val="center"/>
              <w:rPr>
                <w:szCs w:val="21"/>
              </w:rPr>
            </w:pPr>
          </w:p>
        </w:tc>
      </w:tr>
      <w:tr w14:paraId="7F4B3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28" w:type="dxa"/>
            <w:gridSpan w:val="2"/>
            <w:vMerge w:val="continue"/>
            <w:tcBorders>
              <w:top w:val="nil"/>
              <w:left w:val="nil"/>
              <w:bottom w:val="nil"/>
              <w:right w:val="nil"/>
            </w:tcBorders>
          </w:tcPr>
          <w:p w14:paraId="37067F12">
            <w:pPr>
              <w:jc w:val="center"/>
              <w:rPr>
                <w:b/>
                <w:sz w:val="18"/>
              </w:rPr>
            </w:pPr>
          </w:p>
        </w:tc>
        <w:tc>
          <w:tcPr>
            <w:tcW w:w="1995" w:type="dxa"/>
            <w:tcBorders>
              <w:top w:val="nil"/>
              <w:left w:val="nil"/>
              <w:bottom w:val="nil"/>
              <w:right w:val="nil"/>
            </w:tcBorders>
            <w:vAlign w:val="center"/>
          </w:tcPr>
          <w:p w14:paraId="11901A20">
            <w:pPr>
              <w:jc w:val="right"/>
            </w:pPr>
          </w:p>
        </w:tc>
        <w:tc>
          <w:tcPr>
            <w:tcW w:w="2310" w:type="dxa"/>
            <w:gridSpan w:val="3"/>
            <w:tcBorders>
              <w:top w:val="nil"/>
              <w:left w:val="nil"/>
              <w:bottom w:val="nil"/>
              <w:right w:val="nil"/>
            </w:tcBorders>
            <w:vAlign w:val="center"/>
          </w:tcPr>
          <w:p w14:paraId="12B491A0">
            <w:pPr>
              <w:jc w:val="center"/>
              <w:rPr>
                <w:szCs w:val="21"/>
              </w:rPr>
            </w:pPr>
          </w:p>
        </w:tc>
      </w:tr>
      <w:tr w14:paraId="123A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23" w:type="dxa"/>
            <w:gridSpan w:val="3"/>
            <w:tcBorders>
              <w:top w:val="single" w:color="auto" w:sz="4" w:space="0"/>
            </w:tcBorders>
          </w:tcPr>
          <w:p w14:paraId="441B93CD">
            <w:pPr>
              <w:rPr>
                <w:sz w:val="18"/>
              </w:rPr>
            </w:pPr>
            <w:r>
              <w:rPr>
                <w:rFonts w:hint="eastAsia"/>
                <w:sz w:val="18"/>
              </w:rPr>
              <w:t>申请书编号：</w:t>
            </w:r>
            <w:r>
              <w:rPr>
                <w:sz w:val="18"/>
                <w:u w:val="single"/>
              </w:rPr>
              <w:t xml:space="preserve">                                          </w:t>
            </w:r>
          </w:p>
          <w:p w14:paraId="7F9FBB7D">
            <w:pPr>
              <w:rPr>
                <w:sz w:val="18"/>
              </w:rPr>
            </w:pPr>
            <w:r>
              <w:rPr>
                <w:rFonts w:hint="eastAsia"/>
                <w:sz w:val="18"/>
              </w:rPr>
              <w:t>申请货名：</w:t>
            </w:r>
            <w:r>
              <w:rPr>
                <w:sz w:val="18"/>
              </w:rPr>
              <w:t xml:space="preserve">  </w:t>
            </w:r>
            <w:r>
              <w:rPr>
                <w:rFonts w:hint="eastAsia"/>
                <w:sz w:val="18"/>
                <w:u w:val="single"/>
              </w:rPr>
              <w:t>电动执行机构</w:t>
            </w:r>
            <w:r>
              <w:rPr>
                <w:sz w:val="18"/>
                <w:u w:val="single"/>
              </w:rPr>
              <w:t xml:space="preserve">                              </w:t>
            </w:r>
          </w:p>
          <w:p w14:paraId="044DC9E3">
            <w:pPr>
              <w:rPr>
                <w:sz w:val="18"/>
              </w:rPr>
            </w:pPr>
            <w:r>
              <w:rPr>
                <w:rFonts w:hint="eastAsia"/>
                <w:sz w:val="18"/>
              </w:rPr>
              <w:t>项目号：</w:t>
            </w:r>
            <w:r>
              <w:rPr>
                <w:sz w:val="18"/>
              </w:rPr>
              <w:t xml:space="preserve">    </w:t>
            </w:r>
            <w:r>
              <w:rPr>
                <w:rFonts w:hint="eastAsia"/>
                <w:sz w:val="18"/>
                <w:u w:val="single"/>
              </w:rPr>
              <w:t>全部</w:t>
            </w:r>
            <w:r>
              <w:rPr>
                <w:sz w:val="18"/>
                <w:u w:val="single"/>
              </w:rPr>
              <w:t xml:space="preserve">                                      </w:t>
            </w:r>
          </w:p>
        </w:tc>
        <w:tc>
          <w:tcPr>
            <w:tcW w:w="2310" w:type="dxa"/>
            <w:gridSpan w:val="3"/>
            <w:tcBorders>
              <w:top w:val="single" w:color="auto" w:sz="4" w:space="0"/>
            </w:tcBorders>
            <w:vAlign w:val="center"/>
          </w:tcPr>
          <w:p w14:paraId="029CBC88">
            <w:pPr>
              <w:jc w:val="center"/>
              <w:rPr>
                <w:sz w:val="28"/>
              </w:rPr>
            </w:pPr>
            <w:r>
              <w:rPr>
                <w:rFonts w:hint="eastAsia"/>
                <w:sz w:val="28"/>
              </w:rPr>
              <w:t>检</w:t>
            </w:r>
            <w:r>
              <w:rPr>
                <w:sz w:val="28"/>
              </w:rPr>
              <w:t xml:space="preserve">  </w:t>
            </w:r>
            <w:r>
              <w:rPr>
                <w:rFonts w:hint="eastAsia"/>
                <w:sz w:val="28"/>
              </w:rPr>
              <w:t>验</w:t>
            </w:r>
            <w:r>
              <w:rPr>
                <w:sz w:val="28"/>
              </w:rPr>
              <w:t xml:space="preserve">  </w:t>
            </w:r>
            <w:r>
              <w:rPr>
                <w:rFonts w:hint="eastAsia"/>
                <w:sz w:val="28"/>
              </w:rPr>
              <w:t>要</w:t>
            </w:r>
            <w:r>
              <w:rPr>
                <w:sz w:val="28"/>
              </w:rPr>
              <w:t xml:space="preserve">  </w:t>
            </w:r>
            <w:r>
              <w:rPr>
                <w:rFonts w:hint="eastAsia"/>
                <w:sz w:val="28"/>
              </w:rPr>
              <w:t>求</w:t>
            </w:r>
          </w:p>
        </w:tc>
      </w:tr>
      <w:tr w14:paraId="67C7C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vMerge w:val="restart"/>
          </w:tcPr>
          <w:p w14:paraId="04137CE6">
            <w:pPr>
              <w:rPr>
                <w:sz w:val="18"/>
              </w:rPr>
            </w:pPr>
          </w:p>
          <w:p w14:paraId="453EFFC2">
            <w:pPr>
              <w:rPr>
                <w:sz w:val="18"/>
              </w:rPr>
            </w:pPr>
          </w:p>
        </w:tc>
        <w:tc>
          <w:tcPr>
            <w:tcW w:w="6255" w:type="dxa"/>
            <w:gridSpan w:val="2"/>
          </w:tcPr>
          <w:p w14:paraId="223A4558">
            <w:pPr>
              <w:rPr>
                <w:sz w:val="18"/>
              </w:rPr>
            </w:pPr>
            <w:r>
              <w:rPr>
                <w:rFonts w:hint="eastAsia"/>
                <w:sz w:val="18"/>
              </w:rPr>
              <w:t>由制造商提交的证书</w:t>
            </w:r>
          </w:p>
        </w:tc>
        <w:tc>
          <w:tcPr>
            <w:tcW w:w="735" w:type="dxa"/>
            <w:vAlign w:val="center"/>
          </w:tcPr>
          <w:p w14:paraId="45DD2EDD">
            <w:pPr>
              <w:jc w:val="center"/>
              <w:rPr>
                <w:sz w:val="18"/>
                <w:szCs w:val="18"/>
              </w:rPr>
            </w:pPr>
          </w:p>
        </w:tc>
        <w:tc>
          <w:tcPr>
            <w:tcW w:w="840" w:type="dxa"/>
            <w:vAlign w:val="center"/>
          </w:tcPr>
          <w:p w14:paraId="050F789C">
            <w:pPr>
              <w:jc w:val="center"/>
              <w:rPr>
                <w:sz w:val="18"/>
                <w:szCs w:val="18"/>
              </w:rPr>
            </w:pPr>
          </w:p>
        </w:tc>
        <w:tc>
          <w:tcPr>
            <w:tcW w:w="735" w:type="dxa"/>
            <w:vAlign w:val="center"/>
          </w:tcPr>
          <w:p w14:paraId="3292D530">
            <w:pPr>
              <w:jc w:val="center"/>
              <w:rPr>
                <w:sz w:val="18"/>
                <w:szCs w:val="18"/>
              </w:rPr>
            </w:pPr>
          </w:p>
        </w:tc>
      </w:tr>
      <w:tr w14:paraId="1FE7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vMerge w:val="continue"/>
          </w:tcPr>
          <w:p w14:paraId="0FB5A69D">
            <w:pPr>
              <w:rPr>
                <w:sz w:val="18"/>
              </w:rPr>
            </w:pPr>
          </w:p>
        </w:tc>
        <w:tc>
          <w:tcPr>
            <w:tcW w:w="6255" w:type="dxa"/>
            <w:gridSpan w:val="2"/>
          </w:tcPr>
          <w:p w14:paraId="144DE598">
            <w:pPr>
              <w:rPr>
                <w:sz w:val="18"/>
              </w:rPr>
            </w:pPr>
            <w:r>
              <w:rPr>
                <w:rFonts w:hint="eastAsia"/>
                <w:sz w:val="18"/>
              </w:rPr>
              <w:t>由购方代表检查的证书</w:t>
            </w:r>
            <w:r>
              <w:rPr>
                <w:sz w:val="18"/>
              </w:rPr>
              <w:t>/</w:t>
            </w:r>
            <w:r>
              <w:rPr>
                <w:rFonts w:hint="eastAsia"/>
                <w:sz w:val="18"/>
              </w:rPr>
              <w:t>记录</w:t>
            </w:r>
          </w:p>
        </w:tc>
        <w:tc>
          <w:tcPr>
            <w:tcW w:w="735" w:type="dxa"/>
            <w:vAlign w:val="center"/>
          </w:tcPr>
          <w:p w14:paraId="5479C0A1">
            <w:pPr>
              <w:jc w:val="center"/>
              <w:rPr>
                <w:sz w:val="18"/>
                <w:szCs w:val="18"/>
              </w:rPr>
            </w:pPr>
          </w:p>
        </w:tc>
        <w:tc>
          <w:tcPr>
            <w:tcW w:w="840" w:type="dxa"/>
            <w:vAlign w:val="center"/>
          </w:tcPr>
          <w:p w14:paraId="172AD903">
            <w:pPr>
              <w:jc w:val="center"/>
              <w:rPr>
                <w:sz w:val="18"/>
                <w:szCs w:val="18"/>
              </w:rPr>
            </w:pPr>
          </w:p>
        </w:tc>
        <w:tc>
          <w:tcPr>
            <w:tcW w:w="735" w:type="dxa"/>
            <w:vAlign w:val="center"/>
          </w:tcPr>
          <w:p w14:paraId="5EA911F0">
            <w:pPr>
              <w:jc w:val="center"/>
              <w:rPr>
                <w:sz w:val="18"/>
                <w:szCs w:val="18"/>
              </w:rPr>
            </w:pPr>
          </w:p>
        </w:tc>
      </w:tr>
      <w:tr w14:paraId="145DB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vMerge w:val="continue"/>
          </w:tcPr>
          <w:p w14:paraId="1735A141">
            <w:pPr>
              <w:rPr>
                <w:sz w:val="18"/>
              </w:rPr>
            </w:pPr>
          </w:p>
        </w:tc>
        <w:tc>
          <w:tcPr>
            <w:tcW w:w="6255" w:type="dxa"/>
            <w:gridSpan w:val="2"/>
          </w:tcPr>
          <w:p w14:paraId="2E6F275A">
            <w:pPr>
              <w:rPr>
                <w:sz w:val="18"/>
              </w:rPr>
            </w:pPr>
            <w:r>
              <w:rPr>
                <w:rFonts w:hint="eastAsia"/>
                <w:sz w:val="18"/>
              </w:rPr>
              <w:t>由购方代表进行的外观检查（</w:t>
            </w:r>
            <w:r>
              <w:rPr>
                <w:sz w:val="18"/>
              </w:rPr>
              <w:t>V</w:t>
            </w:r>
            <w:r>
              <w:rPr>
                <w:rFonts w:hint="eastAsia"/>
                <w:sz w:val="18"/>
              </w:rPr>
              <w:t>）</w:t>
            </w:r>
            <w:r>
              <w:rPr>
                <w:sz w:val="18"/>
              </w:rPr>
              <w:t>/</w:t>
            </w:r>
            <w:r>
              <w:rPr>
                <w:rFonts w:hint="eastAsia"/>
                <w:sz w:val="18"/>
              </w:rPr>
              <w:t>现场目击监督（</w:t>
            </w:r>
            <w:r>
              <w:rPr>
                <w:sz w:val="18"/>
              </w:rPr>
              <w:t>W</w:t>
            </w:r>
            <w:r>
              <w:rPr>
                <w:rFonts w:hint="eastAsia"/>
                <w:sz w:val="18"/>
              </w:rPr>
              <w:t>）</w:t>
            </w:r>
            <w:r>
              <w:rPr>
                <w:sz w:val="18"/>
              </w:rPr>
              <w:t>/</w:t>
            </w:r>
            <w:r>
              <w:rPr>
                <w:rFonts w:hint="eastAsia"/>
                <w:sz w:val="18"/>
              </w:rPr>
              <w:t>观测（</w:t>
            </w:r>
            <w:r>
              <w:rPr>
                <w:sz w:val="18"/>
              </w:rPr>
              <w:t>O</w:t>
            </w:r>
            <w:r>
              <w:rPr>
                <w:rFonts w:hint="eastAsia"/>
                <w:sz w:val="18"/>
              </w:rPr>
              <w:t>）</w:t>
            </w:r>
            <w:r>
              <w:rPr>
                <w:sz w:val="18"/>
              </w:rPr>
              <w:t>/</w:t>
            </w:r>
            <w:r>
              <w:rPr>
                <w:rFonts w:hint="eastAsia"/>
                <w:sz w:val="18"/>
              </w:rPr>
              <w:t>暂停点（</w:t>
            </w:r>
            <w:r>
              <w:rPr>
                <w:sz w:val="18"/>
              </w:rPr>
              <w:t>H</w:t>
            </w:r>
            <w:r>
              <w:rPr>
                <w:rFonts w:hint="eastAsia"/>
                <w:sz w:val="18"/>
              </w:rPr>
              <w:t>）</w:t>
            </w:r>
          </w:p>
        </w:tc>
        <w:tc>
          <w:tcPr>
            <w:tcW w:w="735" w:type="dxa"/>
            <w:vAlign w:val="center"/>
          </w:tcPr>
          <w:p w14:paraId="5C05B5F0">
            <w:pPr>
              <w:jc w:val="center"/>
              <w:rPr>
                <w:sz w:val="18"/>
                <w:szCs w:val="18"/>
              </w:rPr>
            </w:pPr>
          </w:p>
        </w:tc>
        <w:tc>
          <w:tcPr>
            <w:tcW w:w="840" w:type="dxa"/>
            <w:vAlign w:val="center"/>
          </w:tcPr>
          <w:p w14:paraId="0DE2803D">
            <w:pPr>
              <w:jc w:val="center"/>
              <w:rPr>
                <w:sz w:val="18"/>
                <w:szCs w:val="18"/>
              </w:rPr>
            </w:pPr>
          </w:p>
        </w:tc>
        <w:tc>
          <w:tcPr>
            <w:tcW w:w="735" w:type="dxa"/>
            <w:vAlign w:val="center"/>
          </w:tcPr>
          <w:p w14:paraId="51776AE2">
            <w:pPr>
              <w:jc w:val="center"/>
              <w:rPr>
                <w:sz w:val="18"/>
                <w:szCs w:val="18"/>
              </w:rPr>
            </w:pPr>
          </w:p>
        </w:tc>
      </w:tr>
      <w:tr w14:paraId="7042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62E10239">
            <w:pPr>
              <w:rPr>
                <w:sz w:val="18"/>
              </w:rPr>
            </w:pPr>
          </w:p>
        </w:tc>
        <w:tc>
          <w:tcPr>
            <w:tcW w:w="6255" w:type="dxa"/>
            <w:gridSpan w:val="2"/>
          </w:tcPr>
          <w:p w14:paraId="190D888A">
            <w:pPr>
              <w:rPr>
                <w:b/>
                <w:sz w:val="18"/>
              </w:rPr>
            </w:pPr>
            <w:r>
              <w:rPr>
                <w:rFonts w:hint="eastAsia"/>
                <w:b/>
                <w:sz w:val="18"/>
              </w:rPr>
              <w:t>一般要求</w:t>
            </w:r>
          </w:p>
        </w:tc>
        <w:tc>
          <w:tcPr>
            <w:tcW w:w="735" w:type="dxa"/>
            <w:vAlign w:val="center"/>
          </w:tcPr>
          <w:p w14:paraId="7FCF451D">
            <w:pPr>
              <w:jc w:val="center"/>
              <w:rPr>
                <w:sz w:val="18"/>
                <w:szCs w:val="18"/>
              </w:rPr>
            </w:pPr>
          </w:p>
        </w:tc>
        <w:tc>
          <w:tcPr>
            <w:tcW w:w="840" w:type="dxa"/>
            <w:vAlign w:val="center"/>
          </w:tcPr>
          <w:p w14:paraId="609AD9CD">
            <w:pPr>
              <w:jc w:val="center"/>
              <w:rPr>
                <w:sz w:val="18"/>
                <w:szCs w:val="18"/>
              </w:rPr>
            </w:pPr>
          </w:p>
        </w:tc>
        <w:tc>
          <w:tcPr>
            <w:tcW w:w="735" w:type="dxa"/>
            <w:vAlign w:val="center"/>
          </w:tcPr>
          <w:p w14:paraId="6BD00AC9">
            <w:pPr>
              <w:jc w:val="center"/>
              <w:rPr>
                <w:sz w:val="18"/>
                <w:szCs w:val="18"/>
              </w:rPr>
            </w:pPr>
          </w:p>
        </w:tc>
      </w:tr>
      <w:tr w14:paraId="0742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4B14891E">
            <w:pPr>
              <w:rPr>
                <w:sz w:val="18"/>
              </w:rPr>
            </w:pPr>
            <w:r>
              <w:rPr>
                <w:sz w:val="18"/>
              </w:rPr>
              <w:t>01</w:t>
            </w:r>
          </w:p>
        </w:tc>
        <w:tc>
          <w:tcPr>
            <w:tcW w:w="6255" w:type="dxa"/>
            <w:gridSpan w:val="2"/>
          </w:tcPr>
          <w:p w14:paraId="636E1AF2">
            <w:pPr>
              <w:rPr>
                <w:sz w:val="18"/>
              </w:rPr>
            </w:pPr>
            <w:r>
              <w:rPr>
                <w:rFonts w:hint="eastAsia"/>
                <w:sz w:val="18"/>
              </w:rPr>
              <w:t>预检查会议</w:t>
            </w:r>
          </w:p>
        </w:tc>
        <w:tc>
          <w:tcPr>
            <w:tcW w:w="735" w:type="dxa"/>
            <w:vAlign w:val="center"/>
          </w:tcPr>
          <w:p w14:paraId="0A34A2AD">
            <w:pPr>
              <w:jc w:val="center"/>
              <w:rPr>
                <w:sz w:val="18"/>
                <w:szCs w:val="18"/>
              </w:rPr>
            </w:pPr>
            <w:r>
              <w:rPr>
                <w:sz w:val="18"/>
                <w:szCs w:val="18"/>
              </w:rPr>
              <w:t>W</w:t>
            </w:r>
          </w:p>
        </w:tc>
        <w:tc>
          <w:tcPr>
            <w:tcW w:w="840" w:type="dxa"/>
            <w:vAlign w:val="center"/>
          </w:tcPr>
          <w:p w14:paraId="23BAA9C7">
            <w:pPr>
              <w:jc w:val="center"/>
              <w:rPr>
                <w:sz w:val="18"/>
                <w:szCs w:val="18"/>
              </w:rPr>
            </w:pPr>
          </w:p>
        </w:tc>
        <w:tc>
          <w:tcPr>
            <w:tcW w:w="735" w:type="dxa"/>
            <w:vAlign w:val="center"/>
          </w:tcPr>
          <w:p w14:paraId="59E533FC">
            <w:pPr>
              <w:jc w:val="center"/>
              <w:rPr>
                <w:sz w:val="18"/>
                <w:szCs w:val="18"/>
              </w:rPr>
            </w:pPr>
          </w:p>
        </w:tc>
      </w:tr>
      <w:tr w14:paraId="569B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788CF0B0">
            <w:pPr>
              <w:rPr>
                <w:sz w:val="18"/>
              </w:rPr>
            </w:pPr>
            <w:r>
              <w:rPr>
                <w:sz w:val="18"/>
              </w:rPr>
              <w:t>02</w:t>
            </w:r>
          </w:p>
        </w:tc>
        <w:tc>
          <w:tcPr>
            <w:tcW w:w="6255" w:type="dxa"/>
            <w:gridSpan w:val="2"/>
          </w:tcPr>
          <w:p w14:paraId="59774DE2">
            <w:pPr>
              <w:rPr>
                <w:sz w:val="18"/>
              </w:rPr>
            </w:pPr>
            <w:r>
              <w:rPr>
                <w:rFonts w:hint="eastAsia"/>
                <w:sz w:val="18"/>
              </w:rPr>
              <w:t>质量控制手册</w:t>
            </w:r>
          </w:p>
        </w:tc>
        <w:tc>
          <w:tcPr>
            <w:tcW w:w="735" w:type="dxa"/>
            <w:vAlign w:val="center"/>
          </w:tcPr>
          <w:p w14:paraId="7362B070">
            <w:pPr>
              <w:jc w:val="center"/>
              <w:rPr>
                <w:sz w:val="18"/>
                <w:szCs w:val="18"/>
              </w:rPr>
            </w:pPr>
          </w:p>
        </w:tc>
        <w:tc>
          <w:tcPr>
            <w:tcW w:w="840" w:type="dxa"/>
            <w:vAlign w:val="center"/>
          </w:tcPr>
          <w:p w14:paraId="12E611EF">
            <w:pPr>
              <w:jc w:val="center"/>
              <w:rPr>
                <w:sz w:val="18"/>
                <w:szCs w:val="18"/>
              </w:rPr>
            </w:pPr>
            <w:r>
              <w:rPr>
                <w:sz w:val="18"/>
                <w:szCs w:val="18"/>
              </w:rPr>
              <w:t>X</w:t>
            </w:r>
          </w:p>
        </w:tc>
        <w:tc>
          <w:tcPr>
            <w:tcW w:w="735" w:type="dxa"/>
            <w:vAlign w:val="center"/>
          </w:tcPr>
          <w:p w14:paraId="62267AA6">
            <w:pPr>
              <w:jc w:val="center"/>
              <w:rPr>
                <w:sz w:val="18"/>
                <w:szCs w:val="18"/>
              </w:rPr>
            </w:pPr>
          </w:p>
        </w:tc>
      </w:tr>
      <w:tr w14:paraId="016C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E510CCC">
            <w:pPr>
              <w:rPr>
                <w:sz w:val="18"/>
              </w:rPr>
            </w:pPr>
            <w:r>
              <w:rPr>
                <w:sz w:val="18"/>
              </w:rPr>
              <w:t>03</w:t>
            </w:r>
          </w:p>
        </w:tc>
        <w:tc>
          <w:tcPr>
            <w:tcW w:w="6255" w:type="dxa"/>
            <w:gridSpan w:val="2"/>
          </w:tcPr>
          <w:p w14:paraId="09060559">
            <w:pPr>
              <w:rPr>
                <w:sz w:val="18"/>
              </w:rPr>
            </w:pPr>
            <w:r>
              <w:rPr>
                <w:rFonts w:hint="eastAsia"/>
                <w:sz w:val="18"/>
              </w:rPr>
              <w:t>鉴定程序记录及焊接工序技术规定</w:t>
            </w:r>
          </w:p>
        </w:tc>
        <w:tc>
          <w:tcPr>
            <w:tcW w:w="735" w:type="dxa"/>
            <w:vAlign w:val="center"/>
          </w:tcPr>
          <w:p w14:paraId="42F842FD">
            <w:pPr>
              <w:jc w:val="center"/>
              <w:rPr>
                <w:sz w:val="18"/>
                <w:szCs w:val="18"/>
              </w:rPr>
            </w:pPr>
          </w:p>
        </w:tc>
        <w:tc>
          <w:tcPr>
            <w:tcW w:w="840" w:type="dxa"/>
            <w:vAlign w:val="center"/>
          </w:tcPr>
          <w:p w14:paraId="036F85B5">
            <w:pPr>
              <w:jc w:val="center"/>
              <w:rPr>
                <w:sz w:val="18"/>
                <w:szCs w:val="18"/>
              </w:rPr>
            </w:pPr>
            <w:r>
              <w:rPr>
                <w:sz w:val="18"/>
                <w:szCs w:val="18"/>
              </w:rPr>
              <w:t>X</w:t>
            </w:r>
          </w:p>
        </w:tc>
        <w:tc>
          <w:tcPr>
            <w:tcW w:w="735" w:type="dxa"/>
            <w:vAlign w:val="center"/>
          </w:tcPr>
          <w:p w14:paraId="56BD3375">
            <w:pPr>
              <w:jc w:val="center"/>
              <w:rPr>
                <w:sz w:val="18"/>
                <w:szCs w:val="18"/>
              </w:rPr>
            </w:pPr>
          </w:p>
        </w:tc>
      </w:tr>
      <w:tr w14:paraId="3D80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89725D5">
            <w:pPr>
              <w:rPr>
                <w:sz w:val="18"/>
              </w:rPr>
            </w:pPr>
            <w:r>
              <w:rPr>
                <w:sz w:val="18"/>
              </w:rPr>
              <w:t>04</w:t>
            </w:r>
          </w:p>
        </w:tc>
        <w:tc>
          <w:tcPr>
            <w:tcW w:w="6255" w:type="dxa"/>
            <w:gridSpan w:val="2"/>
          </w:tcPr>
          <w:p w14:paraId="0DC0D966">
            <w:pPr>
              <w:rPr>
                <w:sz w:val="18"/>
              </w:rPr>
            </w:pPr>
            <w:r>
              <w:rPr>
                <w:rFonts w:hint="eastAsia"/>
                <w:sz w:val="18"/>
              </w:rPr>
              <w:t>焊工资质记录</w:t>
            </w:r>
          </w:p>
        </w:tc>
        <w:tc>
          <w:tcPr>
            <w:tcW w:w="735" w:type="dxa"/>
            <w:vAlign w:val="center"/>
          </w:tcPr>
          <w:p w14:paraId="6E5A884E">
            <w:pPr>
              <w:jc w:val="center"/>
              <w:rPr>
                <w:sz w:val="18"/>
                <w:szCs w:val="18"/>
              </w:rPr>
            </w:pPr>
          </w:p>
        </w:tc>
        <w:tc>
          <w:tcPr>
            <w:tcW w:w="840" w:type="dxa"/>
            <w:vAlign w:val="center"/>
          </w:tcPr>
          <w:p w14:paraId="1D237DDB">
            <w:pPr>
              <w:jc w:val="center"/>
              <w:rPr>
                <w:sz w:val="18"/>
                <w:szCs w:val="18"/>
              </w:rPr>
            </w:pPr>
            <w:r>
              <w:rPr>
                <w:sz w:val="18"/>
                <w:szCs w:val="18"/>
              </w:rPr>
              <w:t>X</w:t>
            </w:r>
          </w:p>
        </w:tc>
        <w:tc>
          <w:tcPr>
            <w:tcW w:w="735" w:type="dxa"/>
            <w:vAlign w:val="center"/>
          </w:tcPr>
          <w:p w14:paraId="741801D7">
            <w:pPr>
              <w:jc w:val="center"/>
              <w:rPr>
                <w:sz w:val="18"/>
                <w:szCs w:val="18"/>
              </w:rPr>
            </w:pPr>
          </w:p>
        </w:tc>
      </w:tr>
      <w:tr w14:paraId="4ADA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3D4CD882">
            <w:pPr>
              <w:rPr>
                <w:sz w:val="18"/>
              </w:rPr>
            </w:pPr>
            <w:r>
              <w:rPr>
                <w:sz w:val="18"/>
              </w:rPr>
              <w:t>05</w:t>
            </w:r>
          </w:p>
        </w:tc>
        <w:tc>
          <w:tcPr>
            <w:tcW w:w="6255" w:type="dxa"/>
            <w:gridSpan w:val="2"/>
          </w:tcPr>
          <w:p w14:paraId="0022A05A">
            <w:pPr>
              <w:rPr>
                <w:sz w:val="18"/>
              </w:rPr>
            </w:pPr>
            <w:r>
              <w:rPr>
                <w:rFonts w:hint="eastAsia"/>
                <w:sz w:val="18"/>
              </w:rPr>
              <w:t>工艺、材料、表面缺陷、组件、尺寸</w:t>
            </w:r>
          </w:p>
        </w:tc>
        <w:tc>
          <w:tcPr>
            <w:tcW w:w="735" w:type="dxa"/>
            <w:vAlign w:val="center"/>
          </w:tcPr>
          <w:p w14:paraId="5FCBF568">
            <w:pPr>
              <w:jc w:val="center"/>
              <w:rPr>
                <w:sz w:val="18"/>
                <w:szCs w:val="18"/>
              </w:rPr>
            </w:pPr>
            <w:r>
              <w:rPr>
                <w:sz w:val="18"/>
                <w:szCs w:val="18"/>
              </w:rPr>
              <w:t>O</w:t>
            </w:r>
          </w:p>
        </w:tc>
        <w:tc>
          <w:tcPr>
            <w:tcW w:w="840" w:type="dxa"/>
            <w:vAlign w:val="center"/>
          </w:tcPr>
          <w:p w14:paraId="36761817">
            <w:pPr>
              <w:jc w:val="center"/>
              <w:rPr>
                <w:sz w:val="18"/>
                <w:szCs w:val="18"/>
              </w:rPr>
            </w:pPr>
          </w:p>
        </w:tc>
        <w:tc>
          <w:tcPr>
            <w:tcW w:w="735" w:type="dxa"/>
            <w:vAlign w:val="center"/>
          </w:tcPr>
          <w:p w14:paraId="045DBF29">
            <w:pPr>
              <w:jc w:val="center"/>
              <w:rPr>
                <w:sz w:val="18"/>
                <w:szCs w:val="18"/>
              </w:rPr>
            </w:pPr>
          </w:p>
        </w:tc>
      </w:tr>
      <w:tr w14:paraId="2238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4A958AFD">
            <w:pPr>
              <w:rPr>
                <w:sz w:val="18"/>
              </w:rPr>
            </w:pPr>
            <w:r>
              <w:rPr>
                <w:sz w:val="18"/>
              </w:rPr>
              <w:t>06</w:t>
            </w:r>
          </w:p>
        </w:tc>
        <w:tc>
          <w:tcPr>
            <w:tcW w:w="6255" w:type="dxa"/>
            <w:gridSpan w:val="2"/>
          </w:tcPr>
          <w:p w14:paraId="317E193F">
            <w:pPr>
              <w:rPr>
                <w:sz w:val="18"/>
              </w:rPr>
            </w:pPr>
            <w:r>
              <w:rPr>
                <w:rFonts w:hint="eastAsia"/>
                <w:sz w:val="18"/>
              </w:rPr>
              <w:t>符合订单描述、技术规格书、验证的图纸要求的制造商的产品目录说明书及</w:t>
            </w:r>
          </w:p>
        </w:tc>
        <w:tc>
          <w:tcPr>
            <w:tcW w:w="735" w:type="dxa"/>
            <w:vAlign w:val="center"/>
          </w:tcPr>
          <w:p w14:paraId="3165D400">
            <w:pPr>
              <w:jc w:val="center"/>
              <w:rPr>
                <w:sz w:val="18"/>
                <w:szCs w:val="18"/>
              </w:rPr>
            </w:pPr>
          </w:p>
        </w:tc>
        <w:tc>
          <w:tcPr>
            <w:tcW w:w="840" w:type="dxa"/>
            <w:vAlign w:val="center"/>
          </w:tcPr>
          <w:p w14:paraId="6B318440">
            <w:pPr>
              <w:jc w:val="center"/>
              <w:rPr>
                <w:sz w:val="18"/>
                <w:szCs w:val="18"/>
              </w:rPr>
            </w:pPr>
            <w:r>
              <w:rPr>
                <w:sz w:val="18"/>
                <w:szCs w:val="18"/>
              </w:rPr>
              <w:t>X</w:t>
            </w:r>
          </w:p>
        </w:tc>
        <w:tc>
          <w:tcPr>
            <w:tcW w:w="735" w:type="dxa"/>
            <w:vAlign w:val="center"/>
          </w:tcPr>
          <w:p w14:paraId="71C5EAD9">
            <w:pPr>
              <w:jc w:val="center"/>
              <w:rPr>
                <w:sz w:val="18"/>
                <w:szCs w:val="18"/>
              </w:rPr>
            </w:pPr>
          </w:p>
        </w:tc>
      </w:tr>
      <w:tr w14:paraId="2F2A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2EAA9747">
            <w:pPr>
              <w:rPr>
                <w:sz w:val="18"/>
              </w:rPr>
            </w:pPr>
          </w:p>
        </w:tc>
        <w:tc>
          <w:tcPr>
            <w:tcW w:w="6255" w:type="dxa"/>
            <w:gridSpan w:val="2"/>
          </w:tcPr>
          <w:p w14:paraId="5BD1A814">
            <w:pPr>
              <w:rPr>
                <w:sz w:val="18"/>
              </w:rPr>
            </w:pPr>
            <w:r>
              <w:rPr>
                <w:rFonts w:hint="eastAsia"/>
                <w:sz w:val="18"/>
              </w:rPr>
              <w:t>涂漆规范</w:t>
            </w:r>
          </w:p>
        </w:tc>
        <w:tc>
          <w:tcPr>
            <w:tcW w:w="735" w:type="dxa"/>
            <w:vAlign w:val="center"/>
          </w:tcPr>
          <w:p w14:paraId="746AB93D">
            <w:pPr>
              <w:jc w:val="center"/>
              <w:rPr>
                <w:sz w:val="18"/>
                <w:szCs w:val="18"/>
              </w:rPr>
            </w:pPr>
          </w:p>
        </w:tc>
        <w:tc>
          <w:tcPr>
            <w:tcW w:w="840" w:type="dxa"/>
            <w:vAlign w:val="center"/>
          </w:tcPr>
          <w:p w14:paraId="280D59EE">
            <w:pPr>
              <w:jc w:val="center"/>
              <w:rPr>
                <w:sz w:val="18"/>
                <w:szCs w:val="18"/>
              </w:rPr>
            </w:pPr>
          </w:p>
        </w:tc>
        <w:tc>
          <w:tcPr>
            <w:tcW w:w="735" w:type="dxa"/>
            <w:vAlign w:val="center"/>
          </w:tcPr>
          <w:p w14:paraId="565B0342">
            <w:pPr>
              <w:jc w:val="center"/>
              <w:rPr>
                <w:sz w:val="18"/>
                <w:szCs w:val="18"/>
              </w:rPr>
            </w:pPr>
          </w:p>
        </w:tc>
      </w:tr>
      <w:tr w14:paraId="51C8A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7B627A8A">
            <w:pPr>
              <w:rPr>
                <w:sz w:val="18"/>
              </w:rPr>
            </w:pPr>
            <w:r>
              <w:rPr>
                <w:sz w:val="18"/>
              </w:rPr>
              <w:t>07</w:t>
            </w:r>
          </w:p>
        </w:tc>
        <w:tc>
          <w:tcPr>
            <w:tcW w:w="6255" w:type="dxa"/>
            <w:gridSpan w:val="2"/>
          </w:tcPr>
          <w:p w14:paraId="6C3F9BF8">
            <w:pPr>
              <w:rPr>
                <w:sz w:val="18"/>
              </w:rPr>
            </w:pPr>
            <w:r>
              <w:rPr>
                <w:rFonts w:hint="eastAsia"/>
                <w:sz w:val="18"/>
              </w:rPr>
              <w:t>涂层及喷砂除锈的合格证</w:t>
            </w:r>
          </w:p>
        </w:tc>
        <w:tc>
          <w:tcPr>
            <w:tcW w:w="735" w:type="dxa"/>
            <w:vAlign w:val="center"/>
          </w:tcPr>
          <w:p w14:paraId="4B750634">
            <w:pPr>
              <w:jc w:val="center"/>
              <w:rPr>
                <w:sz w:val="18"/>
                <w:szCs w:val="18"/>
              </w:rPr>
            </w:pPr>
          </w:p>
        </w:tc>
        <w:tc>
          <w:tcPr>
            <w:tcW w:w="840" w:type="dxa"/>
            <w:vAlign w:val="center"/>
          </w:tcPr>
          <w:p w14:paraId="02115600">
            <w:pPr>
              <w:jc w:val="center"/>
              <w:rPr>
                <w:sz w:val="18"/>
                <w:szCs w:val="18"/>
              </w:rPr>
            </w:pPr>
            <w:r>
              <w:rPr>
                <w:sz w:val="18"/>
                <w:szCs w:val="18"/>
              </w:rPr>
              <w:t>X</w:t>
            </w:r>
          </w:p>
        </w:tc>
        <w:tc>
          <w:tcPr>
            <w:tcW w:w="735" w:type="dxa"/>
            <w:vAlign w:val="center"/>
          </w:tcPr>
          <w:p w14:paraId="4DAFAC6B">
            <w:pPr>
              <w:jc w:val="center"/>
              <w:rPr>
                <w:sz w:val="18"/>
                <w:szCs w:val="18"/>
              </w:rPr>
            </w:pPr>
          </w:p>
        </w:tc>
      </w:tr>
      <w:tr w14:paraId="2E17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7DF63382">
            <w:pPr>
              <w:rPr>
                <w:sz w:val="18"/>
              </w:rPr>
            </w:pPr>
            <w:r>
              <w:rPr>
                <w:sz w:val="18"/>
              </w:rPr>
              <w:t>08</w:t>
            </w:r>
          </w:p>
        </w:tc>
        <w:tc>
          <w:tcPr>
            <w:tcW w:w="6255" w:type="dxa"/>
            <w:gridSpan w:val="2"/>
          </w:tcPr>
          <w:p w14:paraId="1C9A6123">
            <w:pPr>
              <w:rPr>
                <w:sz w:val="18"/>
              </w:rPr>
            </w:pPr>
            <w:r>
              <w:rPr>
                <w:rFonts w:hint="eastAsia"/>
                <w:sz w:val="18"/>
              </w:rPr>
              <w:t>喷砂除锈清洁后的金属检验</w:t>
            </w:r>
          </w:p>
        </w:tc>
        <w:tc>
          <w:tcPr>
            <w:tcW w:w="735" w:type="dxa"/>
            <w:vAlign w:val="center"/>
          </w:tcPr>
          <w:p w14:paraId="38D6CEED">
            <w:pPr>
              <w:jc w:val="center"/>
              <w:rPr>
                <w:sz w:val="18"/>
                <w:szCs w:val="18"/>
              </w:rPr>
            </w:pPr>
            <w:r>
              <w:rPr>
                <w:sz w:val="18"/>
                <w:szCs w:val="18"/>
              </w:rPr>
              <w:t>O</w:t>
            </w:r>
          </w:p>
        </w:tc>
        <w:tc>
          <w:tcPr>
            <w:tcW w:w="840" w:type="dxa"/>
            <w:vAlign w:val="center"/>
          </w:tcPr>
          <w:p w14:paraId="5ED7A151">
            <w:pPr>
              <w:jc w:val="center"/>
              <w:rPr>
                <w:sz w:val="18"/>
                <w:szCs w:val="18"/>
              </w:rPr>
            </w:pPr>
          </w:p>
        </w:tc>
        <w:tc>
          <w:tcPr>
            <w:tcW w:w="735" w:type="dxa"/>
            <w:vAlign w:val="center"/>
          </w:tcPr>
          <w:p w14:paraId="4B221654">
            <w:pPr>
              <w:jc w:val="center"/>
              <w:rPr>
                <w:sz w:val="18"/>
                <w:szCs w:val="18"/>
              </w:rPr>
            </w:pPr>
          </w:p>
        </w:tc>
      </w:tr>
      <w:tr w14:paraId="5FE49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11A55720">
            <w:pPr>
              <w:rPr>
                <w:sz w:val="18"/>
              </w:rPr>
            </w:pPr>
            <w:r>
              <w:rPr>
                <w:sz w:val="18"/>
              </w:rPr>
              <w:t>09</w:t>
            </w:r>
          </w:p>
        </w:tc>
        <w:tc>
          <w:tcPr>
            <w:tcW w:w="6255" w:type="dxa"/>
            <w:gridSpan w:val="2"/>
          </w:tcPr>
          <w:p w14:paraId="3D5D4A3F">
            <w:pPr>
              <w:rPr>
                <w:sz w:val="18"/>
              </w:rPr>
            </w:pPr>
            <w:r>
              <w:rPr>
                <w:rFonts w:hint="eastAsia"/>
                <w:sz w:val="18"/>
              </w:rPr>
              <w:t>干膜厚度的测量</w:t>
            </w:r>
          </w:p>
        </w:tc>
        <w:tc>
          <w:tcPr>
            <w:tcW w:w="735" w:type="dxa"/>
            <w:vAlign w:val="center"/>
          </w:tcPr>
          <w:p w14:paraId="2EA62B82">
            <w:pPr>
              <w:jc w:val="center"/>
              <w:rPr>
                <w:sz w:val="18"/>
                <w:szCs w:val="18"/>
              </w:rPr>
            </w:pPr>
            <w:r>
              <w:rPr>
                <w:sz w:val="18"/>
                <w:szCs w:val="18"/>
              </w:rPr>
              <w:t>V</w:t>
            </w:r>
          </w:p>
        </w:tc>
        <w:tc>
          <w:tcPr>
            <w:tcW w:w="840" w:type="dxa"/>
            <w:vAlign w:val="center"/>
          </w:tcPr>
          <w:p w14:paraId="1B1F6B97">
            <w:pPr>
              <w:jc w:val="center"/>
              <w:rPr>
                <w:sz w:val="18"/>
                <w:szCs w:val="18"/>
              </w:rPr>
            </w:pPr>
          </w:p>
        </w:tc>
        <w:tc>
          <w:tcPr>
            <w:tcW w:w="735" w:type="dxa"/>
            <w:vAlign w:val="center"/>
          </w:tcPr>
          <w:p w14:paraId="34BC819C">
            <w:pPr>
              <w:jc w:val="center"/>
              <w:rPr>
                <w:sz w:val="18"/>
                <w:szCs w:val="18"/>
              </w:rPr>
            </w:pPr>
          </w:p>
        </w:tc>
      </w:tr>
      <w:tr w14:paraId="6889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0914F87D">
            <w:pPr>
              <w:rPr>
                <w:sz w:val="18"/>
              </w:rPr>
            </w:pPr>
            <w:r>
              <w:rPr>
                <w:sz w:val="18"/>
              </w:rPr>
              <w:t>10</w:t>
            </w:r>
          </w:p>
        </w:tc>
        <w:tc>
          <w:tcPr>
            <w:tcW w:w="6255" w:type="dxa"/>
            <w:gridSpan w:val="2"/>
          </w:tcPr>
          <w:p w14:paraId="2C89EF10">
            <w:pPr>
              <w:rPr>
                <w:sz w:val="18"/>
              </w:rPr>
            </w:pPr>
            <w:r>
              <w:rPr>
                <w:rFonts w:hint="eastAsia"/>
                <w:sz w:val="18"/>
              </w:rPr>
              <w:t>相对湿度测量</w:t>
            </w:r>
          </w:p>
        </w:tc>
        <w:tc>
          <w:tcPr>
            <w:tcW w:w="735" w:type="dxa"/>
            <w:vAlign w:val="center"/>
          </w:tcPr>
          <w:p w14:paraId="4F0C4943">
            <w:pPr>
              <w:jc w:val="center"/>
              <w:rPr>
                <w:sz w:val="18"/>
                <w:szCs w:val="18"/>
              </w:rPr>
            </w:pPr>
          </w:p>
        </w:tc>
        <w:tc>
          <w:tcPr>
            <w:tcW w:w="840" w:type="dxa"/>
            <w:vAlign w:val="center"/>
          </w:tcPr>
          <w:p w14:paraId="4F15F2CD">
            <w:pPr>
              <w:jc w:val="center"/>
              <w:rPr>
                <w:sz w:val="18"/>
                <w:szCs w:val="18"/>
              </w:rPr>
            </w:pPr>
          </w:p>
        </w:tc>
        <w:tc>
          <w:tcPr>
            <w:tcW w:w="735" w:type="dxa"/>
            <w:vAlign w:val="center"/>
          </w:tcPr>
          <w:p w14:paraId="35DB5CEA">
            <w:pPr>
              <w:jc w:val="center"/>
              <w:rPr>
                <w:sz w:val="18"/>
                <w:szCs w:val="18"/>
              </w:rPr>
            </w:pPr>
          </w:p>
        </w:tc>
      </w:tr>
      <w:tr w14:paraId="71A8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108ADA9C">
            <w:pPr>
              <w:rPr>
                <w:sz w:val="18"/>
              </w:rPr>
            </w:pPr>
            <w:r>
              <w:rPr>
                <w:sz w:val="18"/>
              </w:rPr>
              <w:t>11</w:t>
            </w:r>
          </w:p>
        </w:tc>
        <w:tc>
          <w:tcPr>
            <w:tcW w:w="6255" w:type="dxa"/>
            <w:gridSpan w:val="2"/>
          </w:tcPr>
          <w:p w14:paraId="1DEB0D2A">
            <w:pPr>
              <w:rPr>
                <w:sz w:val="18"/>
              </w:rPr>
            </w:pPr>
            <w:r>
              <w:rPr>
                <w:rFonts w:hint="eastAsia"/>
                <w:sz w:val="18"/>
              </w:rPr>
              <w:t>射线照相检查（如果可以用）</w:t>
            </w:r>
          </w:p>
        </w:tc>
        <w:tc>
          <w:tcPr>
            <w:tcW w:w="735" w:type="dxa"/>
            <w:vAlign w:val="center"/>
          </w:tcPr>
          <w:p w14:paraId="748F6122">
            <w:pPr>
              <w:jc w:val="center"/>
              <w:rPr>
                <w:sz w:val="18"/>
                <w:szCs w:val="18"/>
              </w:rPr>
            </w:pPr>
          </w:p>
        </w:tc>
        <w:tc>
          <w:tcPr>
            <w:tcW w:w="840" w:type="dxa"/>
            <w:vAlign w:val="center"/>
          </w:tcPr>
          <w:p w14:paraId="4CBAD5EE">
            <w:pPr>
              <w:jc w:val="center"/>
              <w:rPr>
                <w:sz w:val="18"/>
                <w:szCs w:val="18"/>
              </w:rPr>
            </w:pPr>
            <w:r>
              <w:rPr>
                <w:sz w:val="18"/>
                <w:szCs w:val="18"/>
              </w:rPr>
              <w:t>X</w:t>
            </w:r>
          </w:p>
        </w:tc>
        <w:tc>
          <w:tcPr>
            <w:tcW w:w="735" w:type="dxa"/>
            <w:vAlign w:val="center"/>
          </w:tcPr>
          <w:p w14:paraId="04BC1AB7">
            <w:pPr>
              <w:jc w:val="center"/>
              <w:rPr>
                <w:sz w:val="18"/>
                <w:szCs w:val="18"/>
              </w:rPr>
            </w:pPr>
          </w:p>
        </w:tc>
      </w:tr>
      <w:tr w14:paraId="1D65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24A21473">
            <w:pPr>
              <w:rPr>
                <w:sz w:val="18"/>
              </w:rPr>
            </w:pPr>
            <w:r>
              <w:rPr>
                <w:sz w:val="18"/>
              </w:rPr>
              <w:t>12</w:t>
            </w:r>
          </w:p>
        </w:tc>
        <w:tc>
          <w:tcPr>
            <w:tcW w:w="6255" w:type="dxa"/>
            <w:gridSpan w:val="2"/>
          </w:tcPr>
          <w:p w14:paraId="406D7B29">
            <w:pPr>
              <w:rPr>
                <w:sz w:val="18"/>
              </w:rPr>
            </w:pPr>
            <w:r>
              <w:rPr>
                <w:rFonts w:hint="eastAsia"/>
                <w:sz w:val="18"/>
              </w:rPr>
              <w:t>热处理合格证</w:t>
            </w:r>
          </w:p>
        </w:tc>
        <w:tc>
          <w:tcPr>
            <w:tcW w:w="735" w:type="dxa"/>
            <w:vAlign w:val="center"/>
          </w:tcPr>
          <w:p w14:paraId="40FDC2F0">
            <w:pPr>
              <w:jc w:val="center"/>
              <w:rPr>
                <w:sz w:val="18"/>
                <w:szCs w:val="18"/>
              </w:rPr>
            </w:pPr>
          </w:p>
        </w:tc>
        <w:tc>
          <w:tcPr>
            <w:tcW w:w="840" w:type="dxa"/>
            <w:vAlign w:val="center"/>
          </w:tcPr>
          <w:p w14:paraId="4DE501F6">
            <w:pPr>
              <w:jc w:val="center"/>
              <w:rPr>
                <w:sz w:val="18"/>
                <w:szCs w:val="18"/>
              </w:rPr>
            </w:pPr>
          </w:p>
        </w:tc>
        <w:tc>
          <w:tcPr>
            <w:tcW w:w="735" w:type="dxa"/>
            <w:vAlign w:val="center"/>
          </w:tcPr>
          <w:p w14:paraId="50E620B6">
            <w:pPr>
              <w:jc w:val="center"/>
              <w:rPr>
                <w:sz w:val="18"/>
                <w:szCs w:val="18"/>
              </w:rPr>
            </w:pPr>
          </w:p>
        </w:tc>
      </w:tr>
      <w:tr w14:paraId="3BFA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D007474">
            <w:pPr>
              <w:rPr>
                <w:sz w:val="18"/>
              </w:rPr>
            </w:pPr>
            <w:r>
              <w:rPr>
                <w:sz w:val="18"/>
              </w:rPr>
              <w:t>13</w:t>
            </w:r>
          </w:p>
        </w:tc>
        <w:tc>
          <w:tcPr>
            <w:tcW w:w="6255" w:type="dxa"/>
            <w:gridSpan w:val="2"/>
          </w:tcPr>
          <w:p w14:paraId="34CDD091">
            <w:pPr>
              <w:rPr>
                <w:sz w:val="18"/>
              </w:rPr>
            </w:pPr>
            <w:r>
              <w:rPr>
                <w:rFonts w:hint="eastAsia"/>
                <w:sz w:val="18"/>
              </w:rPr>
              <w:t>热处理（图表）</w:t>
            </w:r>
          </w:p>
        </w:tc>
        <w:tc>
          <w:tcPr>
            <w:tcW w:w="735" w:type="dxa"/>
            <w:vAlign w:val="center"/>
          </w:tcPr>
          <w:p w14:paraId="4E9AA68B">
            <w:pPr>
              <w:jc w:val="center"/>
              <w:rPr>
                <w:sz w:val="18"/>
                <w:szCs w:val="18"/>
              </w:rPr>
            </w:pPr>
          </w:p>
        </w:tc>
        <w:tc>
          <w:tcPr>
            <w:tcW w:w="840" w:type="dxa"/>
            <w:vAlign w:val="center"/>
          </w:tcPr>
          <w:p w14:paraId="449139FC">
            <w:pPr>
              <w:jc w:val="center"/>
              <w:rPr>
                <w:sz w:val="18"/>
                <w:szCs w:val="18"/>
              </w:rPr>
            </w:pPr>
          </w:p>
        </w:tc>
        <w:tc>
          <w:tcPr>
            <w:tcW w:w="735" w:type="dxa"/>
            <w:vAlign w:val="center"/>
          </w:tcPr>
          <w:p w14:paraId="72DBD600">
            <w:pPr>
              <w:jc w:val="center"/>
              <w:rPr>
                <w:sz w:val="18"/>
                <w:szCs w:val="18"/>
              </w:rPr>
            </w:pPr>
          </w:p>
        </w:tc>
      </w:tr>
      <w:tr w14:paraId="28B5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0B21EBDA">
            <w:pPr>
              <w:rPr>
                <w:sz w:val="18"/>
              </w:rPr>
            </w:pPr>
            <w:r>
              <w:rPr>
                <w:sz w:val="18"/>
              </w:rPr>
              <w:t>14</w:t>
            </w:r>
          </w:p>
        </w:tc>
        <w:tc>
          <w:tcPr>
            <w:tcW w:w="6255" w:type="dxa"/>
            <w:gridSpan w:val="2"/>
          </w:tcPr>
          <w:p w14:paraId="6017A7F7">
            <w:pPr>
              <w:rPr>
                <w:sz w:val="18"/>
              </w:rPr>
            </w:pPr>
            <w:r>
              <w:rPr>
                <w:rFonts w:hint="eastAsia"/>
                <w:sz w:val="18"/>
              </w:rPr>
              <w:t>测试程序</w:t>
            </w:r>
          </w:p>
        </w:tc>
        <w:tc>
          <w:tcPr>
            <w:tcW w:w="735" w:type="dxa"/>
            <w:vAlign w:val="center"/>
          </w:tcPr>
          <w:p w14:paraId="0A2FD2BA">
            <w:pPr>
              <w:jc w:val="center"/>
              <w:rPr>
                <w:sz w:val="18"/>
                <w:szCs w:val="18"/>
              </w:rPr>
            </w:pPr>
          </w:p>
        </w:tc>
        <w:tc>
          <w:tcPr>
            <w:tcW w:w="840" w:type="dxa"/>
            <w:vAlign w:val="center"/>
          </w:tcPr>
          <w:p w14:paraId="5908C7CB">
            <w:pPr>
              <w:jc w:val="center"/>
              <w:rPr>
                <w:sz w:val="18"/>
                <w:szCs w:val="18"/>
              </w:rPr>
            </w:pPr>
            <w:r>
              <w:rPr>
                <w:sz w:val="18"/>
                <w:szCs w:val="18"/>
              </w:rPr>
              <w:t>X</w:t>
            </w:r>
          </w:p>
        </w:tc>
        <w:tc>
          <w:tcPr>
            <w:tcW w:w="735" w:type="dxa"/>
            <w:vAlign w:val="center"/>
          </w:tcPr>
          <w:p w14:paraId="259FC345">
            <w:pPr>
              <w:jc w:val="center"/>
              <w:rPr>
                <w:sz w:val="18"/>
                <w:szCs w:val="18"/>
              </w:rPr>
            </w:pPr>
          </w:p>
        </w:tc>
      </w:tr>
      <w:tr w14:paraId="707D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2EBFF42C">
            <w:pPr>
              <w:rPr>
                <w:sz w:val="18"/>
              </w:rPr>
            </w:pPr>
            <w:r>
              <w:rPr>
                <w:sz w:val="18"/>
              </w:rPr>
              <w:t>15</w:t>
            </w:r>
          </w:p>
        </w:tc>
        <w:tc>
          <w:tcPr>
            <w:tcW w:w="6255" w:type="dxa"/>
            <w:gridSpan w:val="2"/>
          </w:tcPr>
          <w:p w14:paraId="49B104FE">
            <w:pPr>
              <w:rPr>
                <w:sz w:val="18"/>
              </w:rPr>
            </w:pPr>
            <w:r>
              <w:rPr>
                <w:rFonts w:hint="eastAsia"/>
                <w:sz w:val="18"/>
              </w:rPr>
              <w:t>无损检测程序</w:t>
            </w:r>
          </w:p>
        </w:tc>
        <w:tc>
          <w:tcPr>
            <w:tcW w:w="735" w:type="dxa"/>
            <w:vAlign w:val="center"/>
          </w:tcPr>
          <w:p w14:paraId="663253BF">
            <w:pPr>
              <w:jc w:val="center"/>
              <w:rPr>
                <w:sz w:val="18"/>
                <w:szCs w:val="18"/>
              </w:rPr>
            </w:pPr>
          </w:p>
        </w:tc>
        <w:tc>
          <w:tcPr>
            <w:tcW w:w="840" w:type="dxa"/>
            <w:vAlign w:val="center"/>
          </w:tcPr>
          <w:p w14:paraId="6A050899">
            <w:pPr>
              <w:jc w:val="center"/>
              <w:rPr>
                <w:sz w:val="18"/>
                <w:szCs w:val="18"/>
              </w:rPr>
            </w:pPr>
            <w:r>
              <w:rPr>
                <w:sz w:val="18"/>
                <w:szCs w:val="18"/>
              </w:rPr>
              <w:t>X</w:t>
            </w:r>
          </w:p>
        </w:tc>
        <w:tc>
          <w:tcPr>
            <w:tcW w:w="735" w:type="dxa"/>
            <w:vAlign w:val="center"/>
          </w:tcPr>
          <w:p w14:paraId="744B4496">
            <w:pPr>
              <w:jc w:val="center"/>
              <w:rPr>
                <w:sz w:val="18"/>
                <w:szCs w:val="18"/>
              </w:rPr>
            </w:pPr>
          </w:p>
        </w:tc>
      </w:tr>
      <w:tr w14:paraId="1E63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35C47053">
            <w:pPr>
              <w:rPr>
                <w:sz w:val="18"/>
              </w:rPr>
            </w:pPr>
          </w:p>
        </w:tc>
        <w:tc>
          <w:tcPr>
            <w:tcW w:w="6255" w:type="dxa"/>
            <w:gridSpan w:val="2"/>
          </w:tcPr>
          <w:p w14:paraId="71304933">
            <w:pPr>
              <w:rPr>
                <w:b/>
                <w:sz w:val="18"/>
              </w:rPr>
            </w:pPr>
            <w:r>
              <w:rPr>
                <w:rFonts w:hint="eastAsia"/>
                <w:b/>
                <w:sz w:val="18"/>
              </w:rPr>
              <w:t>检验要求</w:t>
            </w:r>
          </w:p>
        </w:tc>
        <w:tc>
          <w:tcPr>
            <w:tcW w:w="735" w:type="dxa"/>
            <w:vAlign w:val="center"/>
          </w:tcPr>
          <w:p w14:paraId="122CF536">
            <w:pPr>
              <w:jc w:val="center"/>
              <w:rPr>
                <w:sz w:val="18"/>
                <w:szCs w:val="18"/>
              </w:rPr>
            </w:pPr>
          </w:p>
        </w:tc>
        <w:tc>
          <w:tcPr>
            <w:tcW w:w="840" w:type="dxa"/>
            <w:vAlign w:val="center"/>
          </w:tcPr>
          <w:p w14:paraId="4B3040EF">
            <w:pPr>
              <w:jc w:val="center"/>
              <w:rPr>
                <w:sz w:val="18"/>
                <w:szCs w:val="18"/>
              </w:rPr>
            </w:pPr>
          </w:p>
        </w:tc>
        <w:tc>
          <w:tcPr>
            <w:tcW w:w="735" w:type="dxa"/>
            <w:vAlign w:val="center"/>
          </w:tcPr>
          <w:p w14:paraId="28AB3719">
            <w:pPr>
              <w:jc w:val="center"/>
              <w:rPr>
                <w:sz w:val="18"/>
                <w:szCs w:val="18"/>
              </w:rPr>
            </w:pPr>
          </w:p>
        </w:tc>
      </w:tr>
      <w:tr w14:paraId="0F59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37C03CD1">
            <w:pPr>
              <w:rPr>
                <w:sz w:val="18"/>
              </w:rPr>
            </w:pPr>
            <w:r>
              <w:rPr>
                <w:sz w:val="18"/>
              </w:rPr>
              <w:t>16</w:t>
            </w:r>
          </w:p>
        </w:tc>
        <w:tc>
          <w:tcPr>
            <w:tcW w:w="6255" w:type="dxa"/>
            <w:gridSpan w:val="2"/>
          </w:tcPr>
          <w:p w14:paraId="1DB9FD91">
            <w:pPr>
              <w:rPr>
                <w:sz w:val="18"/>
              </w:rPr>
            </w:pPr>
            <w:r>
              <w:rPr>
                <w:rFonts w:hint="eastAsia"/>
                <w:sz w:val="18"/>
              </w:rPr>
              <w:t>执行机构测试</w:t>
            </w:r>
            <w:r>
              <w:rPr>
                <w:sz w:val="18"/>
              </w:rPr>
              <w:t>——</w:t>
            </w:r>
            <w:r>
              <w:rPr>
                <w:rFonts w:hint="eastAsia"/>
                <w:sz w:val="18"/>
              </w:rPr>
              <w:t>功能测试</w:t>
            </w:r>
          </w:p>
        </w:tc>
        <w:tc>
          <w:tcPr>
            <w:tcW w:w="735" w:type="dxa"/>
            <w:vAlign w:val="center"/>
          </w:tcPr>
          <w:p w14:paraId="30ED8AEE">
            <w:pPr>
              <w:jc w:val="center"/>
              <w:rPr>
                <w:sz w:val="18"/>
                <w:szCs w:val="18"/>
              </w:rPr>
            </w:pPr>
            <w:r>
              <w:rPr>
                <w:sz w:val="18"/>
                <w:szCs w:val="18"/>
              </w:rPr>
              <w:t>W</w:t>
            </w:r>
          </w:p>
        </w:tc>
        <w:tc>
          <w:tcPr>
            <w:tcW w:w="840" w:type="dxa"/>
            <w:vAlign w:val="center"/>
          </w:tcPr>
          <w:p w14:paraId="4F39A30B">
            <w:pPr>
              <w:jc w:val="center"/>
              <w:rPr>
                <w:sz w:val="18"/>
                <w:szCs w:val="18"/>
              </w:rPr>
            </w:pPr>
            <w:r>
              <w:rPr>
                <w:sz w:val="18"/>
                <w:szCs w:val="18"/>
              </w:rPr>
              <w:t>X</w:t>
            </w:r>
          </w:p>
        </w:tc>
        <w:tc>
          <w:tcPr>
            <w:tcW w:w="735" w:type="dxa"/>
            <w:vAlign w:val="center"/>
          </w:tcPr>
          <w:p w14:paraId="0F19F6FF">
            <w:pPr>
              <w:jc w:val="center"/>
              <w:rPr>
                <w:sz w:val="18"/>
                <w:szCs w:val="18"/>
              </w:rPr>
            </w:pPr>
            <w:r>
              <w:rPr>
                <w:sz w:val="18"/>
                <w:szCs w:val="18"/>
              </w:rPr>
              <w:t>X</w:t>
            </w:r>
          </w:p>
        </w:tc>
      </w:tr>
      <w:tr w14:paraId="637E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A1C5D7E">
            <w:pPr>
              <w:rPr>
                <w:sz w:val="18"/>
              </w:rPr>
            </w:pPr>
            <w:r>
              <w:rPr>
                <w:sz w:val="18"/>
              </w:rPr>
              <w:t>17</w:t>
            </w:r>
          </w:p>
        </w:tc>
        <w:tc>
          <w:tcPr>
            <w:tcW w:w="6255" w:type="dxa"/>
            <w:gridSpan w:val="2"/>
          </w:tcPr>
          <w:p w14:paraId="1EFAF9C1">
            <w:pPr>
              <w:rPr>
                <w:sz w:val="18"/>
              </w:rPr>
            </w:pPr>
            <w:r>
              <w:rPr>
                <w:rFonts w:hint="eastAsia"/>
                <w:sz w:val="18"/>
              </w:rPr>
              <w:t>执行机构测试</w:t>
            </w:r>
            <w:r>
              <w:rPr>
                <w:sz w:val="18"/>
              </w:rPr>
              <w:t>——</w:t>
            </w:r>
            <w:r>
              <w:rPr>
                <w:rFonts w:hint="eastAsia"/>
                <w:sz w:val="18"/>
              </w:rPr>
              <w:t>全扭矩</w:t>
            </w:r>
          </w:p>
        </w:tc>
        <w:tc>
          <w:tcPr>
            <w:tcW w:w="735" w:type="dxa"/>
            <w:vAlign w:val="center"/>
          </w:tcPr>
          <w:p w14:paraId="7CBA5209">
            <w:pPr>
              <w:jc w:val="center"/>
              <w:rPr>
                <w:sz w:val="18"/>
                <w:szCs w:val="18"/>
              </w:rPr>
            </w:pPr>
          </w:p>
        </w:tc>
        <w:tc>
          <w:tcPr>
            <w:tcW w:w="840" w:type="dxa"/>
            <w:vAlign w:val="center"/>
          </w:tcPr>
          <w:p w14:paraId="4711DE13">
            <w:pPr>
              <w:jc w:val="center"/>
              <w:rPr>
                <w:sz w:val="18"/>
                <w:szCs w:val="18"/>
              </w:rPr>
            </w:pPr>
          </w:p>
        </w:tc>
        <w:tc>
          <w:tcPr>
            <w:tcW w:w="735" w:type="dxa"/>
            <w:vAlign w:val="center"/>
          </w:tcPr>
          <w:p w14:paraId="34C2EB11">
            <w:pPr>
              <w:jc w:val="center"/>
              <w:rPr>
                <w:sz w:val="18"/>
                <w:szCs w:val="18"/>
              </w:rPr>
            </w:pPr>
          </w:p>
        </w:tc>
      </w:tr>
      <w:tr w14:paraId="4B04B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30806544">
            <w:pPr>
              <w:rPr>
                <w:sz w:val="18"/>
              </w:rPr>
            </w:pPr>
            <w:r>
              <w:rPr>
                <w:sz w:val="18"/>
              </w:rPr>
              <w:t>18</w:t>
            </w:r>
          </w:p>
        </w:tc>
        <w:tc>
          <w:tcPr>
            <w:tcW w:w="6255" w:type="dxa"/>
            <w:gridSpan w:val="2"/>
          </w:tcPr>
          <w:p w14:paraId="21283EF1">
            <w:pPr>
              <w:rPr>
                <w:sz w:val="18"/>
              </w:rPr>
            </w:pPr>
            <w:r>
              <w:rPr>
                <w:rFonts w:hint="eastAsia"/>
                <w:sz w:val="18"/>
              </w:rPr>
              <w:t>执行机构测试</w:t>
            </w:r>
            <w:r>
              <w:rPr>
                <w:sz w:val="18"/>
              </w:rPr>
              <w:t>——</w:t>
            </w:r>
            <w:r>
              <w:rPr>
                <w:rFonts w:hint="eastAsia"/>
                <w:sz w:val="18"/>
              </w:rPr>
              <w:t>制造厂内阀门全压测试</w:t>
            </w:r>
          </w:p>
        </w:tc>
        <w:tc>
          <w:tcPr>
            <w:tcW w:w="735" w:type="dxa"/>
            <w:vAlign w:val="center"/>
          </w:tcPr>
          <w:p w14:paraId="62133668">
            <w:pPr>
              <w:jc w:val="center"/>
              <w:rPr>
                <w:sz w:val="18"/>
                <w:szCs w:val="18"/>
              </w:rPr>
            </w:pPr>
            <w:r>
              <w:rPr>
                <w:sz w:val="18"/>
                <w:szCs w:val="18"/>
              </w:rPr>
              <w:t>H</w:t>
            </w:r>
          </w:p>
        </w:tc>
        <w:tc>
          <w:tcPr>
            <w:tcW w:w="840" w:type="dxa"/>
            <w:vAlign w:val="center"/>
          </w:tcPr>
          <w:p w14:paraId="01F38C7E">
            <w:pPr>
              <w:jc w:val="center"/>
              <w:rPr>
                <w:sz w:val="18"/>
                <w:szCs w:val="18"/>
              </w:rPr>
            </w:pPr>
            <w:r>
              <w:rPr>
                <w:sz w:val="18"/>
                <w:szCs w:val="18"/>
              </w:rPr>
              <w:t>X</w:t>
            </w:r>
          </w:p>
        </w:tc>
        <w:tc>
          <w:tcPr>
            <w:tcW w:w="735" w:type="dxa"/>
            <w:vAlign w:val="center"/>
          </w:tcPr>
          <w:p w14:paraId="0C0D899A">
            <w:pPr>
              <w:jc w:val="center"/>
              <w:rPr>
                <w:sz w:val="18"/>
                <w:szCs w:val="18"/>
              </w:rPr>
            </w:pPr>
            <w:r>
              <w:rPr>
                <w:sz w:val="18"/>
                <w:szCs w:val="18"/>
              </w:rPr>
              <w:t>X</w:t>
            </w:r>
          </w:p>
        </w:tc>
      </w:tr>
      <w:tr w14:paraId="7794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7D7FA700">
            <w:pPr>
              <w:rPr>
                <w:sz w:val="18"/>
              </w:rPr>
            </w:pPr>
            <w:r>
              <w:rPr>
                <w:sz w:val="18"/>
              </w:rPr>
              <w:t>19</w:t>
            </w:r>
          </w:p>
        </w:tc>
        <w:tc>
          <w:tcPr>
            <w:tcW w:w="6255" w:type="dxa"/>
            <w:gridSpan w:val="2"/>
          </w:tcPr>
          <w:p w14:paraId="0FE07150">
            <w:pPr>
              <w:rPr>
                <w:sz w:val="18"/>
              </w:rPr>
            </w:pPr>
            <w:r>
              <w:rPr>
                <w:rFonts w:hint="eastAsia"/>
                <w:sz w:val="18"/>
              </w:rPr>
              <w:t>涂层测试</w:t>
            </w:r>
          </w:p>
        </w:tc>
        <w:tc>
          <w:tcPr>
            <w:tcW w:w="735" w:type="dxa"/>
            <w:vAlign w:val="center"/>
          </w:tcPr>
          <w:p w14:paraId="3908087F">
            <w:pPr>
              <w:jc w:val="center"/>
              <w:rPr>
                <w:sz w:val="18"/>
                <w:szCs w:val="18"/>
              </w:rPr>
            </w:pPr>
            <w:r>
              <w:rPr>
                <w:sz w:val="18"/>
                <w:szCs w:val="18"/>
              </w:rPr>
              <w:t>V</w:t>
            </w:r>
          </w:p>
        </w:tc>
        <w:tc>
          <w:tcPr>
            <w:tcW w:w="840" w:type="dxa"/>
            <w:vAlign w:val="center"/>
          </w:tcPr>
          <w:p w14:paraId="288B6277">
            <w:pPr>
              <w:jc w:val="center"/>
              <w:rPr>
                <w:sz w:val="18"/>
                <w:szCs w:val="18"/>
              </w:rPr>
            </w:pPr>
          </w:p>
        </w:tc>
        <w:tc>
          <w:tcPr>
            <w:tcW w:w="735" w:type="dxa"/>
            <w:vAlign w:val="center"/>
          </w:tcPr>
          <w:p w14:paraId="5EFC0A39">
            <w:pPr>
              <w:jc w:val="center"/>
              <w:rPr>
                <w:sz w:val="18"/>
                <w:szCs w:val="18"/>
              </w:rPr>
            </w:pPr>
          </w:p>
        </w:tc>
      </w:tr>
      <w:tr w14:paraId="414C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057E0A08">
            <w:pPr>
              <w:rPr>
                <w:sz w:val="18"/>
              </w:rPr>
            </w:pPr>
            <w:r>
              <w:rPr>
                <w:sz w:val="18"/>
              </w:rPr>
              <w:t>20</w:t>
            </w:r>
          </w:p>
        </w:tc>
        <w:tc>
          <w:tcPr>
            <w:tcW w:w="6255" w:type="dxa"/>
            <w:gridSpan w:val="2"/>
          </w:tcPr>
          <w:p w14:paraId="76C65C09">
            <w:pPr>
              <w:rPr>
                <w:sz w:val="18"/>
              </w:rPr>
            </w:pPr>
            <w:r>
              <w:rPr>
                <w:rFonts w:hint="eastAsia"/>
                <w:sz w:val="18"/>
              </w:rPr>
              <w:t>液压测试（如果可以用）</w:t>
            </w:r>
          </w:p>
        </w:tc>
        <w:tc>
          <w:tcPr>
            <w:tcW w:w="735" w:type="dxa"/>
            <w:vAlign w:val="center"/>
          </w:tcPr>
          <w:p w14:paraId="551DC6AE">
            <w:pPr>
              <w:jc w:val="center"/>
              <w:rPr>
                <w:sz w:val="18"/>
                <w:szCs w:val="18"/>
              </w:rPr>
            </w:pPr>
          </w:p>
        </w:tc>
        <w:tc>
          <w:tcPr>
            <w:tcW w:w="840" w:type="dxa"/>
            <w:vAlign w:val="center"/>
          </w:tcPr>
          <w:p w14:paraId="65B12E1E">
            <w:pPr>
              <w:jc w:val="center"/>
              <w:rPr>
                <w:sz w:val="18"/>
                <w:szCs w:val="18"/>
              </w:rPr>
            </w:pPr>
          </w:p>
        </w:tc>
        <w:tc>
          <w:tcPr>
            <w:tcW w:w="735" w:type="dxa"/>
            <w:vAlign w:val="center"/>
          </w:tcPr>
          <w:p w14:paraId="01667BB0">
            <w:pPr>
              <w:jc w:val="center"/>
              <w:rPr>
                <w:sz w:val="18"/>
                <w:szCs w:val="18"/>
              </w:rPr>
            </w:pPr>
          </w:p>
        </w:tc>
      </w:tr>
      <w:tr w14:paraId="51E4F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4C00A5E1">
            <w:pPr>
              <w:rPr>
                <w:sz w:val="18"/>
              </w:rPr>
            </w:pPr>
            <w:r>
              <w:rPr>
                <w:sz w:val="18"/>
              </w:rPr>
              <w:t>21</w:t>
            </w:r>
          </w:p>
        </w:tc>
        <w:tc>
          <w:tcPr>
            <w:tcW w:w="6255" w:type="dxa"/>
            <w:gridSpan w:val="2"/>
          </w:tcPr>
          <w:p w14:paraId="578079E9">
            <w:pPr>
              <w:rPr>
                <w:sz w:val="18"/>
              </w:rPr>
            </w:pPr>
            <w:r>
              <w:rPr>
                <w:rFonts w:hint="eastAsia"/>
                <w:sz w:val="18"/>
              </w:rPr>
              <w:t>仪表功能测试</w:t>
            </w:r>
          </w:p>
        </w:tc>
        <w:tc>
          <w:tcPr>
            <w:tcW w:w="735" w:type="dxa"/>
            <w:vAlign w:val="center"/>
          </w:tcPr>
          <w:p w14:paraId="7E8D9770">
            <w:pPr>
              <w:jc w:val="center"/>
              <w:rPr>
                <w:sz w:val="18"/>
                <w:szCs w:val="18"/>
              </w:rPr>
            </w:pPr>
            <w:r>
              <w:rPr>
                <w:sz w:val="18"/>
                <w:szCs w:val="18"/>
              </w:rPr>
              <w:t>O</w:t>
            </w:r>
          </w:p>
        </w:tc>
        <w:tc>
          <w:tcPr>
            <w:tcW w:w="840" w:type="dxa"/>
            <w:vAlign w:val="center"/>
          </w:tcPr>
          <w:p w14:paraId="6A29ECBC">
            <w:pPr>
              <w:jc w:val="center"/>
              <w:rPr>
                <w:sz w:val="18"/>
                <w:szCs w:val="18"/>
              </w:rPr>
            </w:pPr>
            <w:r>
              <w:rPr>
                <w:sz w:val="18"/>
                <w:szCs w:val="18"/>
              </w:rPr>
              <w:t>X</w:t>
            </w:r>
          </w:p>
        </w:tc>
        <w:tc>
          <w:tcPr>
            <w:tcW w:w="735" w:type="dxa"/>
            <w:vAlign w:val="center"/>
          </w:tcPr>
          <w:p w14:paraId="4AE82EF8">
            <w:pPr>
              <w:jc w:val="center"/>
              <w:rPr>
                <w:sz w:val="18"/>
                <w:szCs w:val="18"/>
              </w:rPr>
            </w:pPr>
            <w:r>
              <w:rPr>
                <w:sz w:val="18"/>
                <w:szCs w:val="18"/>
              </w:rPr>
              <w:t>X</w:t>
            </w:r>
          </w:p>
        </w:tc>
      </w:tr>
      <w:tr w14:paraId="2D430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23290C90">
            <w:pPr>
              <w:rPr>
                <w:sz w:val="18"/>
              </w:rPr>
            </w:pPr>
            <w:r>
              <w:rPr>
                <w:sz w:val="18"/>
              </w:rPr>
              <w:t>22</w:t>
            </w:r>
          </w:p>
        </w:tc>
        <w:tc>
          <w:tcPr>
            <w:tcW w:w="6255" w:type="dxa"/>
            <w:gridSpan w:val="2"/>
          </w:tcPr>
          <w:p w14:paraId="43A8EBEE">
            <w:pPr>
              <w:rPr>
                <w:sz w:val="18"/>
              </w:rPr>
            </w:pPr>
            <w:r>
              <w:rPr>
                <w:rFonts w:hint="eastAsia"/>
                <w:sz w:val="18"/>
              </w:rPr>
              <w:t>染色渗透和磁粉探伤检测</w:t>
            </w:r>
          </w:p>
        </w:tc>
        <w:tc>
          <w:tcPr>
            <w:tcW w:w="735" w:type="dxa"/>
            <w:vAlign w:val="center"/>
          </w:tcPr>
          <w:p w14:paraId="3924DFE5">
            <w:pPr>
              <w:jc w:val="center"/>
              <w:rPr>
                <w:sz w:val="18"/>
                <w:szCs w:val="18"/>
              </w:rPr>
            </w:pPr>
          </w:p>
        </w:tc>
        <w:tc>
          <w:tcPr>
            <w:tcW w:w="840" w:type="dxa"/>
            <w:vAlign w:val="center"/>
          </w:tcPr>
          <w:p w14:paraId="4AC5B8D7">
            <w:pPr>
              <w:jc w:val="center"/>
              <w:rPr>
                <w:sz w:val="18"/>
                <w:szCs w:val="18"/>
              </w:rPr>
            </w:pPr>
            <w:r>
              <w:rPr>
                <w:sz w:val="18"/>
                <w:szCs w:val="18"/>
              </w:rPr>
              <w:t>X</w:t>
            </w:r>
          </w:p>
        </w:tc>
        <w:tc>
          <w:tcPr>
            <w:tcW w:w="735" w:type="dxa"/>
            <w:vAlign w:val="center"/>
          </w:tcPr>
          <w:p w14:paraId="61EDDB09">
            <w:pPr>
              <w:jc w:val="center"/>
              <w:rPr>
                <w:sz w:val="18"/>
                <w:szCs w:val="18"/>
              </w:rPr>
            </w:pPr>
          </w:p>
        </w:tc>
      </w:tr>
      <w:tr w14:paraId="14F4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2884DA7C">
            <w:pPr>
              <w:rPr>
                <w:sz w:val="18"/>
              </w:rPr>
            </w:pPr>
            <w:r>
              <w:rPr>
                <w:sz w:val="18"/>
              </w:rPr>
              <w:t>23</w:t>
            </w:r>
          </w:p>
        </w:tc>
        <w:tc>
          <w:tcPr>
            <w:tcW w:w="6255" w:type="dxa"/>
            <w:gridSpan w:val="2"/>
          </w:tcPr>
          <w:p w14:paraId="08F84C3B">
            <w:pPr>
              <w:rPr>
                <w:sz w:val="18"/>
              </w:rPr>
            </w:pPr>
            <w:r>
              <w:rPr>
                <w:rFonts w:hint="eastAsia"/>
                <w:sz w:val="18"/>
              </w:rPr>
              <w:t>执行机构电极及腔体加热器</w:t>
            </w:r>
          </w:p>
        </w:tc>
        <w:tc>
          <w:tcPr>
            <w:tcW w:w="735" w:type="dxa"/>
            <w:vAlign w:val="center"/>
          </w:tcPr>
          <w:p w14:paraId="1D272839">
            <w:pPr>
              <w:jc w:val="center"/>
              <w:rPr>
                <w:sz w:val="18"/>
                <w:szCs w:val="18"/>
              </w:rPr>
            </w:pPr>
            <w:r>
              <w:rPr>
                <w:sz w:val="18"/>
                <w:szCs w:val="18"/>
              </w:rPr>
              <w:t>V</w:t>
            </w:r>
          </w:p>
        </w:tc>
        <w:tc>
          <w:tcPr>
            <w:tcW w:w="840" w:type="dxa"/>
            <w:vAlign w:val="center"/>
          </w:tcPr>
          <w:p w14:paraId="26E76796">
            <w:pPr>
              <w:jc w:val="center"/>
              <w:rPr>
                <w:sz w:val="18"/>
                <w:szCs w:val="18"/>
              </w:rPr>
            </w:pPr>
          </w:p>
        </w:tc>
        <w:tc>
          <w:tcPr>
            <w:tcW w:w="735" w:type="dxa"/>
            <w:vAlign w:val="center"/>
          </w:tcPr>
          <w:p w14:paraId="71221E78">
            <w:pPr>
              <w:jc w:val="center"/>
              <w:rPr>
                <w:sz w:val="18"/>
                <w:szCs w:val="18"/>
              </w:rPr>
            </w:pPr>
          </w:p>
        </w:tc>
      </w:tr>
      <w:tr w14:paraId="4C704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78B9942C">
            <w:pPr>
              <w:rPr>
                <w:sz w:val="18"/>
              </w:rPr>
            </w:pPr>
            <w:r>
              <w:rPr>
                <w:sz w:val="18"/>
              </w:rPr>
              <w:t>24</w:t>
            </w:r>
          </w:p>
        </w:tc>
        <w:tc>
          <w:tcPr>
            <w:tcW w:w="6255" w:type="dxa"/>
            <w:gridSpan w:val="2"/>
          </w:tcPr>
          <w:p w14:paraId="41CE1D00">
            <w:pPr>
              <w:rPr>
                <w:sz w:val="18"/>
              </w:rPr>
            </w:pPr>
            <w:r>
              <w:rPr>
                <w:rFonts w:hint="eastAsia"/>
                <w:sz w:val="18"/>
              </w:rPr>
              <w:t>材料测试报告</w:t>
            </w:r>
          </w:p>
        </w:tc>
        <w:tc>
          <w:tcPr>
            <w:tcW w:w="735" w:type="dxa"/>
            <w:vAlign w:val="center"/>
          </w:tcPr>
          <w:p w14:paraId="7E6E8EC4">
            <w:pPr>
              <w:jc w:val="center"/>
              <w:rPr>
                <w:sz w:val="18"/>
                <w:szCs w:val="18"/>
              </w:rPr>
            </w:pPr>
          </w:p>
        </w:tc>
        <w:tc>
          <w:tcPr>
            <w:tcW w:w="840" w:type="dxa"/>
            <w:vAlign w:val="center"/>
          </w:tcPr>
          <w:p w14:paraId="671A4904">
            <w:pPr>
              <w:jc w:val="center"/>
              <w:rPr>
                <w:sz w:val="18"/>
                <w:szCs w:val="18"/>
              </w:rPr>
            </w:pPr>
            <w:r>
              <w:rPr>
                <w:sz w:val="18"/>
                <w:szCs w:val="18"/>
              </w:rPr>
              <w:t>X</w:t>
            </w:r>
          </w:p>
        </w:tc>
        <w:tc>
          <w:tcPr>
            <w:tcW w:w="735" w:type="dxa"/>
            <w:vAlign w:val="center"/>
          </w:tcPr>
          <w:p w14:paraId="2D02270F">
            <w:pPr>
              <w:jc w:val="center"/>
              <w:rPr>
                <w:sz w:val="18"/>
                <w:szCs w:val="18"/>
              </w:rPr>
            </w:pPr>
            <w:r>
              <w:rPr>
                <w:sz w:val="18"/>
                <w:szCs w:val="18"/>
              </w:rPr>
              <w:t>X</w:t>
            </w:r>
          </w:p>
        </w:tc>
      </w:tr>
      <w:tr w14:paraId="1BD07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049F70E2">
            <w:pPr>
              <w:rPr>
                <w:sz w:val="18"/>
              </w:rPr>
            </w:pPr>
          </w:p>
        </w:tc>
        <w:tc>
          <w:tcPr>
            <w:tcW w:w="6255" w:type="dxa"/>
            <w:gridSpan w:val="2"/>
          </w:tcPr>
          <w:p w14:paraId="7BEE6FC9">
            <w:pPr>
              <w:rPr>
                <w:b/>
                <w:sz w:val="18"/>
              </w:rPr>
            </w:pPr>
            <w:r>
              <w:rPr>
                <w:rFonts w:hint="eastAsia"/>
                <w:b/>
                <w:sz w:val="18"/>
              </w:rPr>
              <w:t>其它要求</w:t>
            </w:r>
          </w:p>
        </w:tc>
        <w:tc>
          <w:tcPr>
            <w:tcW w:w="735" w:type="dxa"/>
            <w:vAlign w:val="center"/>
          </w:tcPr>
          <w:p w14:paraId="3FB55DFD">
            <w:pPr>
              <w:jc w:val="center"/>
              <w:rPr>
                <w:sz w:val="18"/>
                <w:szCs w:val="18"/>
              </w:rPr>
            </w:pPr>
          </w:p>
        </w:tc>
        <w:tc>
          <w:tcPr>
            <w:tcW w:w="840" w:type="dxa"/>
            <w:vAlign w:val="center"/>
          </w:tcPr>
          <w:p w14:paraId="75BD7D14">
            <w:pPr>
              <w:jc w:val="center"/>
              <w:rPr>
                <w:sz w:val="18"/>
                <w:szCs w:val="18"/>
              </w:rPr>
            </w:pPr>
          </w:p>
        </w:tc>
        <w:tc>
          <w:tcPr>
            <w:tcW w:w="735" w:type="dxa"/>
            <w:vAlign w:val="center"/>
          </w:tcPr>
          <w:p w14:paraId="76AA143F">
            <w:pPr>
              <w:jc w:val="center"/>
              <w:rPr>
                <w:sz w:val="18"/>
                <w:szCs w:val="18"/>
              </w:rPr>
            </w:pPr>
          </w:p>
        </w:tc>
      </w:tr>
      <w:tr w14:paraId="6EDD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DB5B86D">
            <w:pPr>
              <w:rPr>
                <w:sz w:val="18"/>
              </w:rPr>
            </w:pPr>
            <w:r>
              <w:rPr>
                <w:sz w:val="18"/>
              </w:rPr>
              <w:t>25</w:t>
            </w:r>
          </w:p>
        </w:tc>
        <w:tc>
          <w:tcPr>
            <w:tcW w:w="6255" w:type="dxa"/>
            <w:gridSpan w:val="2"/>
          </w:tcPr>
          <w:p w14:paraId="7E6D4F98">
            <w:pPr>
              <w:rPr>
                <w:sz w:val="18"/>
              </w:rPr>
            </w:pPr>
            <w:r>
              <w:rPr>
                <w:rFonts w:hint="eastAsia"/>
                <w:sz w:val="18"/>
              </w:rPr>
              <w:t>设备的装配</w:t>
            </w:r>
          </w:p>
        </w:tc>
        <w:tc>
          <w:tcPr>
            <w:tcW w:w="735" w:type="dxa"/>
            <w:vAlign w:val="center"/>
          </w:tcPr>
          <w:p w14:paraId="3021BA25">
            <w:pPr>
              <w:jc w:val="center"/>
              <w:rPr>
                <w:sz w:val="18"/>
                <w:szCs w:val="18"/>
              </w:rPr>
            </w:pPr>
            <w:r>
              <w:rPr>
                <w:sz w:val="18"/>
                <w:szCs w:val="18"/>
              </w:rPr>
              <w:t>O</w:t>
            </w:r>
          </w:p>
        </w:tc>
        <w:tc>
          <w:tcPr>
            <w:tcW w:w="840" w:type="dxa"/>
            <w:vAlign w:val="center"/>
          </w:tcPr>
          <w:p w14:paraId="63C77870">
            <w:pPr>
              <w:jc w:val="center"/>
              <w:rPr>
                <w:sz w:val="18"/>
                <w:szCs w:val="18"/>
              </w:rPr>
            </w:pPr>
          </w:p>
        </w:tc>
        <w:tc>
          <w:tcPr>
            <w:tcW w:w="735" w:type="dxa"/>
            <w:vAlign w:val="center"/>
          </w:tcPr>
          <w:p w14:paraId="1E60DEAE">
            <w:pPr>
              <w:jc w:val="center"/>
              <w:rPr>
                <w:sz w:val="18"/>
                <w:szCs w:val="18"/>
              </w:rPr>
            </w:pPr>
          </w:p>
        </w:tc>
      </w:tr>
      <w:tr w14:paraId="00D7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40F2FDA3">
            <w:pPr>
              <w:rPr>
                <w:sz w:val="18"/>
              </w:rPr>
            </w:pPr>
            <w:r>
              <w:rPr>
                <w:sz w:val="18"/>
              </w:rPr>
              <w:t>26</w:t>
            </w:r>
          </w:p>
        </w:tc>
        <w:tc>
          <w:tcPr>
            <w:tcW w:w="6255" w:type="dxa"/>
            <w:gridSpan w:val="2"/>
          </w:tcPr>
          <w:p w14:paraId="3F16B408">
            <w:pPr>
              <w:rPr>
                <w:sz w:val="18"/>
              </w:rPr>
            </w:pPr>
            <w:r>
              <w:rPr>
                <w:rFonts w:hint="eastAsia"/>
                <w:sz w:val="18"/>
              </w:rPr>
              <w:t>涂敷材料的证书</w:t>
            </w:r>
          </w:p>
        </w:tc>
        <w:tc>
          <w:tcPr>
            <w:tcW w:w="735" w:type="dxa"/>
            <w:vAlign w:val="center"/>
          </w:tcPr>
          <w:p w14:paraId="2CC9FF4A">
            <w:pPr>
              <w:jc w:val="center"/>
              <w:rPr>
                <w:sz w:val="18"/>
                <w:szCs w:val="18"/>
              </w:rPr>
            </w:pPr>
          </w:p>
        </w:tc>
        <w:tc>
          <w:tcPr>
            <w:tcW w:w="840" w:type="dxa"/>
            <w:vAlign w:val="center"/>
          </w:tcPr>
          <w:p w14:paraId="7F85EA43">
            <w:pPr>
              <w:jc w:val="center"/>
              <w:rPr>
                <w:sz w:val="18"/>
                <w:szCs w:val="18"/>
              </w:rPr>
            </w:pPr>
            <w:r>
              <w:rPr>
                <w:sz w:val="18"/>
                <w:szCs w:val="18"/>
              </w:rPr>
              <w:t>X</w:t>
            </w:r>
          </w:p>
        </w:tc>
        <w:tc>
          <w:tcPr>
            <w:tcW w:w="735" w:type="dxa"/>
            <w:vAlign w:val="center"/>
          </w:tcPr>
          <w:p w14:paraId="6A884B71">
            <w:pPr>
              <w:jc w:val="center"/>
              <w:rPr>
                <w:sz w:val="18"/>
                <w:szCs w:val="18"/>
              </w:rPr>
            </w:pPr>
            <w:r>
              <w:rPr>
                <w:sz w:val="18"/>
                <w:szCs w:val="18"/>
              </w:rPr>
              <w:t>X</w:t>
            </w:r>
          </w:p>
        </w:tc>
      </w:tr>
      <w:tr w14:paraId="1EF1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0E09CFA4">
            <w:pPr>
              <w:rPr>
                <w:sz w:val="18"/>
              </w:rPr>
            </w:pPr>
            <w:r>
              <w:rPr>
                <w:sz w:val="18"/>
              </w:rPr>
              <w:t>27</w:t>
            </w:r>
          </w:p>
        </w:tc>
        <w:tc>
          <w:tcPr>
            <w:tcW w:w="6255" w:type="dxa"/>
            <w:gridSpan w:val="2"/>
          </w:tcPr>
          <w:p w14:paraId="5B0D4DF6">
            <w:pPr>
              <w:rPr>
                <w:sz w:val="18"/>
              </w:rPr>
            </w:pPr>
            <w:r>
              <w:rPr>
                <w:rFonts w:hint="eastAsia"/>
                <w:sz w:val="18"/>
              </w:rPr>
              <w:t>对检验用设备的校验</w:t>
            </w:r>
          </w:p>
        </w:tc>
        <w:tc>
          <w:tcPr>
            <w:tcW w:w="735" w:type="dxa"/>
            <w:vAlign w:val="center"/>
          </w:tcPr>
          <w:p w14:paraId="05252B61">
            <w:pPr>
              <w:jc w:val="center"/>
              <w:rPr>
                <w:sz w:val="18"/>
                <w:szCs w:val="18"/>
              </w:rPr>
            </w:pPr>
            <w:r>
              <w:rPr>
                <w:sz w:val="18"/>
                <w:szCs w:val="18"/>
              </w:rPr>
              <w:t>O</w:t>
            </w:r>
          </w:p>
        </w:tc>
        <w:tc>
          <w:tcPr>
            <w:tcW w:w="840" w:type="dxa"/>
            <w:vAlign w:val="center"/>
          </w:tcPr>
          <w:p w14:paraId="0C4D0E5B">
            <w:pPr>
              <w:jc w:val="center"/>
              <w:rPr>
                <w:sz w:val="18"/>
                <w:szCs w:val="18"/>
              </w:rPr>
            </w:pPr>
            <w:r>
              <w:rPr>
                <w:sz w:val="18"/>
                <w:szCs w:val="18"/>
              </w:rPr>
              <w:t>X</w:t>
            </w:r>
          </w:p>
        </w:tc>
        <w:tc>
          <w:tcPr>
            <w:tcW w:w="735" w:type="dxa"/>
            <w:vAlign w:val="center"/>
          </w:tcPr>
          <w:p w14:paraId="399A29EC">
            <w:pPr>
              <w:jc w:val="center"/>
              <w:rPr>
                <w:sz w:val="18"/>
                <w:szCs w:val="18"/>
              </w:rPr>
            </w:pPr>
          </w:p>
        </w:tc>
      </w:tr>
      <w:tr w14:paraId="281B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6CD274F">
            <w:pPr>
              <w:rPr>
                <w:sz w:val="18"/>
              </w:rPr>
            </w:pPr>
            <w:r>
              <w:rPr>
                <w:sz w:val="18"/>
              </w:rPr>
              <w:t>28</w:t>
            </w:r>
          </w:p>
        </w:tc>
        <w:tc>
          <w:tcPr>
            <w:tcW w:w="6255" w:type="dxa"/>
            <w:gridSpan w:val="2"/>
          </w:tcPr>
          <w:p w14:paraId="4C8219E1">
            <w:pPr>
              <w:rPr>
                <w:sz w:val="18"/>
              </w:rPr>
            </w:pPr>
            <w:r>
              <w:rPr>
                <w:rFonts w:hint="eastAsia"/>
                <w:sz w:val="18"/>
              </w:rPr>
              <w:t>止燃、预热和烤箱硬化温度（涂层）</w:t>
            </w:r>
          </w:p>
        </w:tc>
        <w:tc>
          <w:tcPr>
            <w:tcW w:w="735" w:type="dxa"/>
            <w:vAlign w:val="center"/>
          </w:tcPr>
          <w:p w14:paraId="59168FC5">
            <w:pPr>
              <w:jc w:val="center"/>
              <w:rPr>
                <w:sz w:val="18"/>
                <w:szCs w:val="18"/>
              </w:rPr>
            </w:pPr>
          </w:p>
        </w:tc>
        <w:tc>
          <w:tcPr>
            <w:tcW w:w="840" w:type="dxa"/>
            <w:vAlign w:val="center"/>
          </w:tcPr>
          <w:p w14:paraId="3496B720">
            <w:pPr>
              <w:jc w:val="center"/>
              <w:rPr>
                <w:sz w:val="18"/>
                <w:szCs w:val="18"/>
              </w:rPr>
            </w:pPr>
          </w:p>
        </w:tc>
        <w:tc>
          <w:tcPr>
            <w:tcW w:w="735" w:type="dxa"/>
            <w:vAlign w:val="center"/>
          </w:tcPr>
          <w:p w14:paraId="7E4BBB63">
            <w:pPr>
              <w:jc w:val="center"/>
              <w:rPr>
                <w:sz w:val="18"/>
                <w:szCs w:val="18"/>
              </w:rPr>
            </w:pPr>
          </w:p>
        </w:tc>
      </w:tr>
      <w:tr w14:paraId="1351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1F3FB36C">
            <w:pPr>
              <w:rPr>
                <w:sz w:val="18"/>
              </w:rPr>
            </w:pPr>
            <w:r>
              <w:rPr>
                <w:sz w:val="18"/>
              </w:rPr>
              <w:t>29</w:t>
            </w:r>
          </w:p>
        </w:tc>
        <w:tc>
          <w:tcPr>
            <w:tcW w:w="6255" w:type="dxa"/>
            <w:gridSpan w:val="2"/>
          </w:tcPr>
          <w:p w14:paraId="66BDEAE2">
            <w:pPr>
              <w:rPr>
                <w:sz w:val="18"/>
              </w:rPr>
            </w:pPr>
            <w:r>
              <w:rPr>
                <w:rFonts w:hint="eastAsia"/>
                <w:sz w:val="18"/>
              </w:rPr>
              <w:t>最后检验</w:t>
            </w:r>
          </w:p>
        </w:tc>
        <w:tc>
          <w:tcPr>
            <w:tcW w:w="735" w:type="dxa"/>
            <w:vAlign w:val="center"/>
          </w:tcPr>
          <w:p w14:paraId="655C480D">
            <w:pPr>
              <w:jc w:val="center"/>
              <w:rPr>
                <w:sz w:val="18"/>
                <w:szCs w:val="18"/>
              </w:rPr>
            </w:pPr>
            <w:r>
              <w:rPr>
                <w:sz w:val="18"/>
                <w:szCs w:val="18"/>
              </w:rPr>
              <w:t>V</w:t>
            </w:r>
          </w:p>
        </w:tc>
        <w:tc>
          <w:tcPr>
            <w:tcW w:w="840" w:type="dxa"/>
            <w:vAlign w:val="center"/>
          </w:tcPr>
          <w:p w14:paraId="65A0388F">
            <w:pPr>
              <w:jc w:val="center"/>
              <w:rPr>
                <w:sz w:val="18"/>
                <w:szCs w:val="18"/>
              </w:rPr>
            </w:pPr>
            <w:r>
              <w:rPr>
                <w:sz w:val="18"/>
                <w:szCs w:val="18"/>
              </w:rPr>
              <w:t>X</w:t>
            </w:r>
          </w:p>
        </w:tc>
        <w:tc>
          <w:tcPr>
            <w:tcW w:w="735" w:type="dxa"/>
            <w:vAlign w:val="center"/>
          </w:tcPr>
          <w:p w14:paraId="18105DDA">
            <w:pPr>
              <w:jc w:val="center"/>
              <w:rPr>
                <w:sz w:val="18"/>
                <w:szCs w:val="18"/>
              </w:rPr>
            </w:pPr>
          </w:p>
        </w:tc>
      </w:tr>
      <w:tr w14:paraId="6C7A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203B64A0">
            <w:pPr>
              <w:rPr>
                <w:sz w:val="18"/>
              </w:rPr>
            </w:pPr>
            <w:r>
              <w:rPr>
                <w:sz w:val="18"/>
              </w:rPr>
              <w:t>30</w:t>
            </w:r>
          </w:p>
        </w:tc>
        <w:tc>
          <w:tcPr>
            <w:tcW w:w="6255" w:type="dxa"/>
            <w:gridSpan w:val="2"/>
          </w:tcPr>
          <w:p w14:paraId="4673799F">
            <w:pPr>
              <w:rPr>
                <w:sz w:val="18"/>
              </w:rPr>
            </w:pPr>
            <w:r>
              <w:rPr>
                <w:rFonts w:hint="eastAsia"/>
                <w:sz w:val="18"/>
              </w:rPr>
              <w:t>发货前的准备</w:t>
            </w:r>
          </w:p>
        </w:tc>
        <w:tc>
          <w:tcPr>
            <w:tcW w:w="735" w:type="dxa"/>
            <w:vAlign w:val="center"/>
          </w:tcPr>
          <w:p w14:paraId="14CCC454">
            <w:pPr>
              <w:jc w:val="center"/>
              <w:rPr>
                <w:sz w:val="18"/>
                <w:szCs w:val="18"/>
              </w:rPr>
            </w:pPr>
            <w:r>
              <w:rPr>
                <w:sz w:val="18"/>
                <w:szCs w:val="18"/>
              </w:rPr>
              <w:t>V</w:t>
            </w:r>
          </w:p>
        </w:tc>
        <w:tc>
          <w:tcPr>
            <w:tcW w:w="840" w:type="dxa"/>
            <w:vAlign w:val="center"/>
          </w:tcPr>
          <w:p w14:paraId="2EED46E5">
            <w:pPr>
              <w:jc w:val="center"/>
              <w:rPr>
                <w:sz w:val="18"/>
                <w:szCs w:val="18"/>
              </w:rPr>
            </w:pPr>
          </w:p>
        </w:tc>
        <w:tc>
          <w:tcPr>
            <w:tcW w:w="735" w:type="dxa"/>
            <w:vAlign w:val="center"/>
          </w:tcPr>
          <w:p w14:paraId="4727A239">
            <w:pPr>
              <w:jc w:val="center"/>
              <w:rPr>
                <w:sz w:val="18"/>
                <w:szCs w:val="18"/>
              </w:rPr>
            </w:pPr>
          </w:p>
        </w:tc>
      </w:tr>
      <w:tr w14:paraId="7CB3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54AA0A72">
            <w:pPr>
              <w:rPr>
                <w:sz w:val="18"/>
              </w:rPr>
            </w:pPr>
            <w:r>
              <w:rPr>
                <w:sz w:val="18"/>
              </w:rPr>
              <w:t>31</w:t>
            </w:r>
          </w:p>
        </w:tc>
        <w:tc>
          <w:tcPr>
            <w:tcW w:w="6255" w:type="dxa"/>
            <w:gridSpan w:val="2"/>
          </w:tcPr>
          <w:p w14:paraId="1E3C6050">
            <w:pPr>
              <w:rPr>
                <w:sz w:val="18"/>
              </w:rPr>
            </w:pPr>
            <w:r>
              <w:rPr>
                <w:rFonts w:hint="eastAsia"/>
                <w:sz w:val="18"/>
              </w:rPr>
              <w:t>铭牌上的数据</w:t>
            </w:r>
          </w:p>
        </w:tc>
        <w:tc>
          <w:tcPr>
            <w:tcW w:w="735" w:type="dxa"/>
            <w:vAlign w:val="center"/>
          </w:tcPr>
          <w:p w14:paraId="15DBFA4A">
            <w:pPr>
              <w:jc w:val="center"/>
              <w:rPr>
                <w:sz w:val="18"/>
                <w:szCs w:val="18"/>
              </w:rPr>
            </w:pPr>
          </w:p>
        </w:tc>
        <w:tc>
          <w:tcPr>
            <w:tcW w:w="840" w:type="dxa"/>
            <w:vAlign w:val="center"/>
          </w:tcPr>
          <w:p w14:paraId="7370820C">
            <w:pPr>
              <w:jc w:val="center"/>
              <w:rPr>
                <w:sz w:val="18"/>
                <w:szCs w:val="18"/>
              </w:rPr>
            </w:pPr>
            <w:r>
              <w:rPr>
                <w:sz w:val="18"/>
                <w:szCs w:val="18"/>
              </w:rPr>
              <w:t>X</w:t>
            </w:r>
          </w:p>
        </w:tc>
        <w:tc>
          <w:tcPr>
            <w:tcW w:w="735" w:type="dxa"/>
            <w:vAlign w:val="center"/>
          </w:tcPr>
          <w:p w14:paraId="75CDA365">
            <w:pPr>
              <w:jc w:val="center"/>
              <w:rPr>
                <w:sz w:val="18"/>
                <w:szCs w:val="18"/>
              </w:rPr>
            </w:pPr>
          </w:p>
        </w:tc>
      </w:tr>
      <w:tr w14:paraId="6DE1A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4052D0CA">
            <w:pPr>
              <w:rPr>
                <w:sz w:val="18"/>
              </w:rPr>
            </w:pPr>
            <w:r>
              <w:rPr>
                <w:sz w:val="18"/>
              </w:rPr>
              <w:t>32</w:t>
            </w:r>
          </w:p>
        </w:tc>
        <w:tc>
          <w:tcPr>
            <w:tcW w:w="6255" w:type="dxa"/>
            <w:gridSpan w:val="2"/>
          </w:tcPr>
          <w:p w14:paraId="0FE0FBF8">
            <w:pPr>
              <w:rPr>
                <w:sz w:val="18"/>
              </w:rPr>
            </w:pPr>
            <w:r>
              <w:rPr>
                <w:rFonts w:hint="eastAsia"/>
                <w:sz w:val="18"/>
              </w:rPr>
              <w:t>发货前所需的购方验放通知</w:t>
            </w:r>
          </w:p>
        </w:tc>
        <w:tc>
          <w:tcPr>
            <w:tcW w:w="735" w:type="dxa"/>
            <w:vAlign w:val="center"/>
          </w:tcPr>
          <w:p w14:paraId="1C39FF10">
            <w:pPr>
              <w:jc w:val="center"/>
              <w:rPr>
                <w:sz w:val="18"/>
                <w:szCs w:val="18"/>
              </w:rPr>
            </w:pPr>
            <w:r>
              <w:rPr>
                <w:sz w:val="18"/>
                <w:szCs w:val="18"/>
              </w:rPr>
              <w:t>H</w:t>
            </w:r>
          </w:p>
        </w:tc>
        <w:tc>
          <w:tcPr>
            <w:tcW w:w="840" w:type="dxa"/>
            <w:vAlign w:val="center"/>
          </w:tcPr>
          <w:p w14:paraId="0B1F8B7D">
            <w:pPr>
              <w:jc w:val="center"/>
              <w:rPr>
                <w:sz w:val="18"/>
                <w:szCs w:val="18"/>
              </w:rPr>
            </w:pPr>
          </w:p>
        </w:tc>
        <w:tc>
          <w:tcPr>
            <w:tcW w:w="735" w:type="dxa"/>
            <w:vAlign w:val="center"/>
          </w:tcPr>
          <w:p w14:paraId="77407587">
            <w:pPr>
              <w:jc w:val="center"/>
              <w:rPr>
                <w:sz w:val="18"/>
                <w:szCs w:val="18"/>
              </w:rPr>
            </w:pPr>
          </w:p>
        </w:tc>
      </w:tr>
      <w:tr w14:paraId="544C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68" w:type="dxa"/>
          </w:tcPr>
          <w:p w14:paraId="0320D37A">
            <w:pPr>
              <w:rPr>
                <w:sz w:val="18"/>
              </w:rPr>
            </w:pPr>
            <w:r>
              <w:rPr>
                <w:sz w:val="18"/>
              </w:rPr>
              <w:t>33</w:t>
            </w:r>
          </w:p>
        </w:tc>
        <w:tc>
          <w:tcPr>
            <w:tcW w:w="6255" w:type="dxa"/>
            <w:gridSpan w:val="2"/>
          </w:tcPr>
          <w:p w14:paraId="14D2B15B">
            <w:pPr>
              <w:rPr>
                <w:sz w:val="18"/>
              </w:rPr>
            </w:pPr>
          </w:p>
        </w:tc>
        <w:tc>
          <w:tcPr>
            <w:tcW w:w="735" w:type="dxa"/>
            <w:vAlign w:val="center"/>
          </w:tcPr>
          <w:p w14:paraId="2C82AF06">
            <w:pPr>
              <w:jc w:val="center"/>
              <w:rPr>
                <w:sz w:val="18"/>
                <w:szCs w:val="18"/>
              </w:rPr>
            </w:pPr>
          </w:p>
        </w:tc>
        <w:tc>
          <w:tcPr>
            <w:tcW w:w="840" w:type="dxa"/>
            <w:vAlign w:val="center"/>
          </w:tcPr>
          <w:p w14:paraId="533BFC50">
            <w:pPr>
              <w:jc w:val="center"/>
              <w:rPr>
                <w:sz w:val="18"/>
                <w:szCs w:val="18"/>
              </w:rPr>
            </w:pPr>
          </w:p>
        </w:tc>
        <w:tc>
          <w:tcPr>
            <w:tcW w:w="735" w:type="dxa"/>
            <w:vAlign w:val="center"/>
          </w:tcPr>
          <w:p w14:paraId="2654B119">
            <w:pPr>
              <w:jc w:val="center"/>
              <w:rPr>
                <w:sz w:val="18"/>
                <w:szCs w:val="18"/>
              </w:rPr>
            </w:pPr>
          </w:p>
        </w:tc>
      </w:tr>
      <w:tr w14:paraId="32BD3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33" w:type="dxa"/>
            <w:gridSpan w:val="6"/>
          </w:tcPr>
          <w:p w14:paraId="255B088F">
            <w:pPr>
              <w:rPr>
                <w:sz w:val="18"/>
              </w:rPr>
            </w:pPr>
            <w:r>
              <w:rPr>
                <w:rFonts w:hint="eastAsia"/>
                <w:sz w:val="18"/>
              </w:rPr>
              <w:t>注意：</w:t>
            </w:r>
          </w:p>
          <w:p w14:paraId="4BD13A96">
            <w:pPr>
              <w:ind w:firstLine="360"/>
              <w:rPr>
                <w:sz w:val="18"/>
              </w:rPr>
            </w:pPr>
            <w:r>
              <w:rPr>
                <w:rFonts w:hint="eastAsia"/>
                <w:sz w:val="18"/>
              </w:rPr>
              <w:t>现场监督</w:t>
            </w:r>
            <w:r>
              <w:rPr>
                <w:sz w:val="18"/>
              </w:rPr>
              <w:t xml:space="preserve"> = </w:t>
            </w:r>
            <w:r>
              <w:rPr>
                <w:rFonts w:hint="eastAsia"/>
                <w:sz w:val="18"/>
              </w:rPr>
              <w:t>制造商</w:t>
            </w:r>
            <w:r>
              <w:rPr>
                <w:rFonts w:hint="eastAsia"/>
                <w:b/>
                <w:sz w:val="18"/>
              </w:rPr>
              <w:t>应</w:t>
            </w:r>
            <w:r>
              <w:rPr>
                <w:rFonts w:hint="eastAsia"/>
                <w:sz w:val="18"/>
              </w:rPr>
              <w:t>提前</w:t>
            </w:r>
            <w:r>
              <w:rPr>
                <w:sz w:val="18"/>
              </w:rPr>
              <w:t>5</w:t>
            </w:r>
            <w:r>
              <w:rPr>
                <w:rFonts w:hint="eastAsia"/>
                <w:sz w:val="18"/>
              </w:rPr>
              <w:t>天通知。不停止生产。</w:t>
            </w:r>
          </w:p>
          <w:p w14:paraId="690BB697">
            <w:pPr>
              <w:ind w:firstLine="360"/>
              <w:rPr>
                <w:sz w:val="18"/>
              </w:rPr>
            </w:pPr>
            <w:r>
              <w:rPr>
                <w:rFonts w:hint="eastAsia"/>
                <w:sz w:val="18"/>
              </w:rPr>
              <w:t>暂停点</w:t>
            </w:r>
            <w:r>
              <w:rPr>
                <w:sz w:val="18"/>
              </w:rPr>
              <w:t xml:space="preserve"> = </w:t>
            </w:r>
            <w:r>
              <w:rPr>
                <w:rFonts w:hint="eastAsia"/>
                <w:sz w:val="18"/>
              </w:rPr>
              <w:t>制造商</w:t>
            </w:r>
            <w:r>
              <w:rPr>
                <w:rFonts w:hint="eastAsia"/>
                <w:b/>
                <w:sz w:val="18"/>
              </w:rPr>
              <w:t>应</w:t>
            </w:r>
            <w:r>
              <w:rPr>
                <w:rFonts w:hint="eastAsia"/>
                <w:sz w:val="18"/>
              </w:rPr>
              <w:t>提前</w:t>
            </w:r>
            <w:r>
              <w:rPr>
                <w:sz w:val="18"/>
              </w:rPr>
              <w:t>5</w:t>
            </w:r>
            <w:r>
              <w:rPr>
                <w:rFonts w:hint="eastAsia"/>
                <w:sz w:val="18"/>
              </w:rPr>
              <w:t>天通知。生产暂停带购方检查。以检验通知书通知购方的检验联系人。</w:t>
            </w:r>
          </w:p>
        </w:tc>
      </w:tr>
    </w:tbl>
    <w:p w14:paraId="05541BA4">
      <w:pPr>
        <w:pStyle w:val="90"/>
        <w:rPr>
          <w:color w:val="auto"/>
        </w:rPr>
      </w:pPr>
    </w:p>
    <w:p w14:paraId="7810A41E">
      <w:pPr>
        <w:pStyle w:val="90"/>
        <w:ind w:firstLine="562"/>
        <w:rPr>
          <w:b/>
          <w:bCs/>
          <w:color w:val="FF0000"/>
        </w:rPr>
      </w:pPr>
      <w:r>
        <w:rPr>
          <w:rFonts w:hint="eastAsia"/>
          <w:b/>
          <w:bCs/>
          <w:snapToGrid w:val="0"/>
          <w:color w:val="FF0000"/>
          <w:kern w:val="0"/>
        </w:rPr>
        <w:t>电动头：舒瓦驰、西贝、西博思或同等质量的进口品牌。（同等质量须在投选截止前获得使用人认可）。</w:t>
      </w:r>
    </w:p>
    <w:p w14:paraId="31C3CA6D">
      <w:pPr>
        <w:jc w:val="left"/>
        <w:rPr>
          <w:rFonts w:ascii="仿宋" w:hAnsi="仿宋" w:eastAsia="仿宋" w:cs="仿宋"/>
          <w:b/>
          <w:bCs/>
          <w:sz w:val="28"/>
          <w:szCs w:val="28"/>
        </w:rPr>
      </w:pPr>
    </w:p>
    <w:p w14:paraId="345957A1">
      <w:pPr>
        <w:jc w:val="left"/>
        <w:rPr>
          <w:rFonts w:ascii="仿宋" w:hAnsi="仿宋" w:eastAsia="仿宋" w:cs="仿宋"/>
          <w:b/>
          <w:bCs/>
          <w:sz w:val="28"/>
          <w:szCs w:val="28"/>
        </w:rPr>
      </w:pPr>
    </w:p>
    <w:p w14:paraId="7BA442C2">
      <w:pPr>
        <w:jc w:val="left"/>
        <w:rPr>
          <w:rFonts w:ascii="仿宋" w:hAnsi="仿宋" w:eastAsia="仿宋" w:cs="仿宋"/>
          <w:b/>
          <w:bCs/>
          <w:sz w:val="28"/>
          <w:szCs w:val="28"/>
        </w:rPr>
      </w:pPr>
    </w:p>
    <w:p w14:paraId="1D84DC63">
      <w:pPr>
        <w:jc w:val="left"/>
        <w:rPr>
          <w:rFonts w:ascii="仿宋" w:hAnsi="仿宋" w:eastAsia="仿宋" w:cs="仿宋"/>
          <w:b/>
          <w:bCs/>
          <w:sz w:val="28"/>
          <w:szCs w:val="28"/>
        </w:rPr>
      </w:pPr>
    </w:p>
    <w:p w14:paraId="205F3A18">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5A9D09D7">
      <w:pPr>
        <w:pStyle w:val="1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35F2875C">
      <w:pPr>
        <w:pStyle w:val="13"/>
        <w:rPr>
          <w:rFonts w:ascii="宋体" w:hAnsi="宋体" w:cs="宋体"/>
          <w:sz w:val="28"/>
          <w:szCs w:val="28"/>
        </w:rPr>
      </w:pPr>
      <w:r>
        <w:rPr>
          <w:rFonts w:hint="eastAsia" w:ascii="宋体" w:hAnsi="宋体" w:cs="宋体"/>
          <w:sz w:val="28"/>
          <w:szCs w:val="28"/>
        </w:rPr>
        <w:t>1、报价单一览表。</w:t>
      </w:r>
    </w:p>
    <w:tbl>
      <w:tblPr>
        <w:tblStyle w:val="36"/>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1048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67D9D375">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37ED8B77">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10AC9CC6">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35132208">
            <w:pPr>
              <w:jc w:val="center"/>
              <w:rPr>
                <w:rFonts w:ascii="宋体" w:hAnsi="宋体"/>
                <w:color w:val="000000"/>
                <w:kern w:val="0"/>
                <w:szCs w:val="21"/>
              </w:rPr>
            </w:pPr>
            <w:r>
              <w:rPr>
                <w:rFonts w:hint="eastAsia" w:ascii="宋体" w:hAnsi="宋体"/>
                <w:color w:val="000000"/>
                <w:kern w:val="0"/>
                <w:szCs w:val="21"/>
              </w:rPr>
              <w:t>牌号</w:t>
            </w:r>
          </w:p>
          <w:p w14:paraId="576365D0">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5AEAA3ED">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050B3D09">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53A40A0A">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CAC1123">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17F8BF83">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7FF0EE5D">
            <w:pPr>
              <w:jc w:val="center"/>
              <w:rPr>
                <w:rFonts w:ascii="宋体" w:hAnsi="宋体"/>
                <w:b/>
                <w:color w:val="000000"/>
                <w:kern w:val="0"/>
                <w:szCs w:val="21"/>
              </w:rPr>
            </w:pPr>
            <w:r>
              <w:rPr>
                <w:rFonts w:hint="eastAsia" w:ascii="宋体" w:hAnsi="宋体"/>
                <w:b/>
                <w:color w:val="000000"/>
                <w:kern w:val="0"/>
                <w:szCs w:val="21"/>
              </w:rPr>
              <w:t>备注</w:t>
            </w:r>
          </w:p>
        </w:tc>
      </w:tr>
      <w:tr w14:paraId="122A4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E7FB1C2">
            <w:pPr>
              <w:jc w:val="center"/>
              <w:rPr>
                <w:rFonts w:ascii="宋体" w:hAnsi="宋体"/>
                <w:kern w:val="0"/>
                <w:szCs w:val="21"/>
              </w:rPr>
            </w:pPr>
            <w:r>
              <w:rPr>
                <w:rFonts w:ascii="宋体" w:hAnsi="宋体"/>
                <w:kern w:val="0"/>
                <w:szCs w:val="21"/>
              </w:rPr>
              <w:t>1</w:t>
            </w:r>
          </w:p>
        </w:tc>
        <w:tc>
          <w:tcPr>
            <w:tcW w:w="1560" w:type="dxa"/>
            <w:vAlign w:val="center"/>
          </w:tcPr>
          <w:p w14:paraId="0DF0A442">
            <w:pPr>
              <w:jc w:val="center"/>
              <w:rPr>
                <w:rFonts w:ascii="宋体" w:hAnsi="宋体" w:cs="宋体"/>
                <w:szCs w:val="21"/>
              </w:rPr>
            </w:pPr>
          </w:p>
        </w:tc>
        <w:tc>
          <w:tcPr>
            <w:tcW w:w="1843" w:type="dxa"/>
            <w:vAlign w:val="center"/>
          </w:tcPr>
          <w:p w14:paraId="6DFDB082">
            <w:pPr>
              <w:jc w:val="center"/>
              <w:rPr>
                <w:rFonts w:ascii="宋体" w:hAnsi="宋体" w:cs="宋体"/>
                <w:szCs w:val="21"/>
              </w:rPr>
            </w:pPr>
          </w:p>
        </w:tc>
        <w:tc>
          <w:tcPr>
            <w:tcW w:w="708" w:type="dxa"/>
            <w:vAlign w:val="center"/>
          </w:tcPr>
          <w:p w14:paraId="38887CFC">
            <w:pPr>
              <w:jc w:val="center"/>
              <w:rPr>
                <w:rFonts w:ascii="宋体" w:hAnsi="宋体" w:cs="宋体"/>
                <w:kern w:val="0"/>
                <w:szCs w:val="21"/>
              </w:rPr>
            </w:pPr>
          </w:p>
        </w:tc>
        <w:tc>
          <w:tcPr>
            <w:tcW w:w="567" w:type="dxa"/>
            <w:vAlign w:val="center"/>
          </w:tcPr>
          <w:p w14:paraId="35D99339">
            <w:pPr>
              <w:jc w:val="center"/>
              <w:rPr>
                <w:rFonts w:ascii="宋体" w:hAnsi="宋体" w:cs="宋体"/>
                <w:kern w:val="0"/>
                <w:szCs w:val="21"/>
              </w:rPr>
            </w:pPr>
          </w:p>
        </w:tc>
        <w:tc>
          <w:tcPr>
            <w:tcW w:w="851" w:type="dxa"/>
            <w:vAlign w:val="center"/>
          </w:tcPr>
          <w:p w14:paraId="42C16518">
            <w:pPr>
              <w:jc w:val="center"/>
              <w:rPr>
                <w:rFonts w:ascii="宋体" w:hAnsi="宋体" w:cs="宋体"/>
                <w:szCs w:val="21"/>
              </w:rPr>
            </w:pPr>
          </w:p>
        </w:tc>
        <w:tc>
          <w:tcPr>
            <w:tcW w:w="992" w:type="dxa"/>
            <w:vAlign w:val="center"/>
          </w:tcPr>
          <w:p w14:paraId="4337352A">
            <w:pPr>
              <w:jc w:val="center"/>
              <w:rPr>
                <w:rFonts w:ascii="宋体" w:hAnsi="宋体" w:cs="宋体"/>
                <w:szCs w:val="21"/>
              </w:rPr>
            </w:pPr>
          </w:p>
        </w:tc>
        <w:tc>
          <w:tcPr>
            <w:tcW w:w="851" w:type="dxa"/>
          </w:tcPr>
          <w:p w14:paraId="7A50CED1">
            <w:pPr>
              <w:jc w:val="center"/>
              <w:rPr>
                <w:rFonts w:ascii="宋体" w:hAnsi="宋体"/>
                <w:kern w:val="0"/>
                <w:szCs w:val="21"/>
              </w:rPr>
            </w:pPr>
          </w:p>
        </w:tc>
        <w:tc>
          <w:tcPr>
            <w:tcW w:w="992" w:type="dxa"/>
          </w:tcPr>
          <w:p w14:paraId="23F2A119">
            <w:pPr>
              <w:jc w:val="center"/>
              <w:rPr>
                <w:rFonts w:ascii="宋体" w:hAnsi="宋体"/>
                <w:kern w:val="0"/>
                <w:szCs w:val="21"/>
              </w:rPr>
            </w:pPr>
          </w:p>
        </w:tc>
        <w:tc>
          <w:tcPr>
            <w:tcW w:w="864" w:type="dxa"/>
            <w:vAlign w:val="center"/>
          </w:tcPr>
          <w:p w14:paraId="70E85177">
            <w:pPr>
              <w:jc w:val="center"/>
              <w:rPr>
                <w:rFonts w:ascii="宋体" w:hAnsi="宋体" w:cs="宋体"/>
                <w:kern w:val="0"/>
                <w:szCs w:val="21"/>
              </w:rPr>
            </w:pPr>
          </w:p>
        </w:tc>
      </w:tr>
      <w:tr w14:paraId="04233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4605DDDB">
            <w:pPr>
              <w:jc w:val="center"/>
              <w:rPr>
                <w:rFonts w:ascii="宋体" w:hAnsi="宋体"/>
                <w:kern w:val="0"/>
                <w:szCs w:val="21"/>
              </w:rPr>
            </w:pPr>
            <w:r>
              <w:rPr>
                <w:rFonts w:ascii="宋体" w:hAnsi="宋体"/>
                <w:kern w:val="0"/>
                <w:szCs w:val="21"/>
              </w:rPr>
              <w:t>2</w:t>
            </w:r>
          </w:p>
        </w:tc>
        <w:tc>
          <w:tcPr>
            <w:tcW w:w="1560" w:type="dxa"/>
            <w:vAlign w:val="center"/>
          </w:tcPr>
          <w:p w14:paraId="52CE5DD3">
            <w:pPr>
              <w:jc w:val="center"/>
              <w:rPr>
                <w:rFonts w:ascii="宋体" w:hAnsi="宋体" w:cs="宋体"/>
                <w:szCs w:val="21"/>
              </w:rPr>
            </w:pPr>
          </w:p>
        </w:tc>
        <w:tc>
          <w:tcPr>
            <w:tcW w:w="1843" w:type="dxa"/>
            <w:vAlign w:val="center"/>
          </w:tcPr>
          <w:p w14:paraId="001DD394">
            <w:pPr>
              <w:jc w:val="center"/>
              <w:rPr>
                <w:rFonts w:ascii="宋体" w:hAnsi="宋体" w:cs="宋体"/>
                <w:szCs w:val="21"/>
              </w:rPr>
            </w:pPr>
          </w:p>
        </w:tc>
        <w:tc>
          <w:tcPr>
            <w:tcW w:w="708" w:type="dxa"/>
            <w:vAlign w:val="center"/>
          </w:tcPr>
          <w:p w14:paraId="0DEEE1F1">
            <w:pPr>
              <w:jc w:val="center"/>
              <w:rPr>
                <w:rFonts w:ascii="宋体" w:hAnsi="宋体" w:cs="宋体"/>
                <w:kern w:val="0"/>
                <w:szCs w:val="21"/>
              </w:rPr>
            </w:pPr>
          </w:p>
        </w:tc>
        <w:tc>
          <w:tcPr>
            <w:tcW w:w="567" w:type="dxa"/>
            <w:vAlign w:val="center"/>
          </w:tcPr>
          <w:p w14:paraId="574B22FA">
            <w:pPr>
              <w:jc w:val="center"/>
              <w:rPr>
                <w:rFonts w:ascii="宋体" w:hAnsi="宋体" w:cs="宋体"/>
                <w:kern w:val="0"/>
                <w:szCs w:val="21"/>
              </w:rPr>
            </w:pPr>
          </w:p>
        </w:tc>
        <w:tc>
          <w:tcPr>
            <w:tcW w:w="851" w:type="dxa"/>
            <w:vAlign w:val="center"/>
          </w:tcPr>
          <w:p w14:paraId="681CF67E">
            <w:pPr>
              <w:jc w:val="center"/>
              <w:rPr>
                <w:rFonts w:ascii="宋体" w:hAnsi="宋体" w:cs="宋体"/>
                <w:szCs w:val="21"/>
              </w:rPr>
            </w:pPr>
          </w:p>
        </w:tc>
        <w:tc>
          <w:tcPr>
            <w:tcW w:w="992" w:type="dxa"/>
            <w:vAlign w:val="center"/>
          </w:tcPr>
          <w:p w14:paraId="724EDC26">
            <w:pPr>
              <w:jc w:val="center"/>
              <w:rPr>
                <w:rFonts w:ascii="宋体" w:hAnsi="宋体" w:cs="宋体"/>
                <w:szCs w:val="21"/>
              </w:rPr>
            </w:pPr>
          </w:p>
        </w:tc>
        <w:tc>
          <w:tcPr>
            <w:tcW w:w="851" w:type="dxa"/>
          </w:tcPr>
          <w:p w14:paraId="2FA422E1">
            <w:pPr>
              <w:jc w:val="center"/>
              <w:rPr>
                <w:rFonts w:ascii="宋体" w:hAnsi="宋体"/>
                <w:kern w:val="0"/>
                <w:szCs w:val="21"/>
              </w:rPr>
            </w:pPr>
          </w:p>
        </w:tc>
        <w:tc>
          <w:tcPr>
            <w:tcW w:w="992" w:type="dxa"/>
          </w:tcPr>
          <w:p w14:paraId="5368011D">
            <w:pPr>
              <w:jc w:val="center"/>
              <w:rPr>
                <w:rFonts w:ascii="宋体" w:hAnsi="宋体"/>
                <w:kern w:val="0"/>
                <w:szCs w:val="21"/>
              </w:rPr>
            </w:pPr>
          </w:p>
        </w:tc>
        <w:tc>
          <w:tcPr>
            <w:tcW w:w="864" w:type="dxa"/>
            <w:vAlign w:val="center"/>
          </w:tcPr>
          <w:p w14:paraId="01103F83">
            <w:pPr>
              <w:jc w:val="center"/>
              <w:rPr>
                <w:rFonts w:ascii="宋体" w:hAnsi="宋体" w:cs="宋体"/>
                <w:kern w:val="0"/>
                <w:szCs w:val="21"/>
              </w:rPr>
            </w:pPr>
          </w:p>
        </w:tc>
      </w:tr>
      <w:tr w14:paraId="1EC58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F6C5008">
            <w:pPr>
              <w:jc w:val="center"/>
              <w:rPr>
                <w:rFonts w:ascii="宋体" w:hAnsi="宋体"/>
                <w:kern w:val="0"/>
                <w:szCs w:val="21"/>
              </w:rPr>
            </w:pPr>
            <w:r>
              <w:rPr>
                <w:rFonts w:ascii="宋体" w:hAnsi="宋体"/>
                <w:kern w:val="0"/>
                <w:szCs w:val="21"/>
              </w:rPr>
              <w:t>3</w:t>
            </w:r>
          </w:p>
        </w:tc>
        <w:tc>
          <w:tcPr>
            <w:tcW w:w="1560" w:type="dxa"/>
            <w:vAlign w:val="center"/>
          </w:tcPr>
          <w:p w14:paraId="6268D897">
            <w:pPr>
              <w:jc w:val="center"/>
              <w:rPr>
                <w:rFonts w:ascii="宋体" w:hAnsi="宋体" w:cs="宋体"/>
                <w:szCs w:val="21"/>
              </w:rPr>
            </w:pPr>
          </w:p>
        </w:tc>
        <w:tc>
          <w:tcPr>
            <w:tcW w:w="1843" w:type="dxa"/>
            <w:vAlign w:val="center"/>
          </w:tcPr>
          <w:p w14:paraId="4067EAC6">
            <w:pPr>
              <w:jc w:val="center"/>
              <w:rPr>
                <w:rFonts w:ascii="宋体" w:hAnsi="宋体" w:cs="宋体"/>
                <w:szCs w:val="21"/>
              </w:rPr>
            </w:pPr>
          </w:p>
        </w:tc>
        <w:tc>
          <w:tcPr>
            <w:tcW w:w="708" w:type="dxa"/>
            <w:vAlign w:val="center"/>
          </w:tcPr>
          <w:p w14:paraId="27029E86">
            <w:pPr>
              <w:jc w:val="center"/>
              <w:rPr>
                <w:rFonts w:ascii="宋体" w:hAnsi="宋体" w:cs="宋体"/>
                <w:kern w:val="0"/>
                <w:szCs w:val="21"/>
              </w:rPr>
            </w:pPr>
          </w:p>
        </w:tc>
        <w:tc>
          <w:tcPr>
            <w:tcW w:w="567" w:type="dxa"/>
            <w:vAlign w:val="center"/>
          </w:tcPr>
          <w:p w14:paraId="1CC3AE17">
            <w:pPr>
              <w:jc w:val="center"/>
              <w:rPr>
                <w:rFonts w:ascii="宋体" w:hAnsi="宋体" w:cs="宋体"/>
                <w:kern w:val="0"/>
                <w:szCs w:val="21"/>
              </w:rPr>
            </w:pPr>
          </w:p>
        </w:tc>
        <w:tc>
          <w:tcPr>
            <w:tcW w:w="851" w:type="dxa"/>
            <w:vAlign w:val="center"/>
          </w:tcPr>
          <w:p w14:paraId="2768E04A">
            <w:pPr>
              <w:jc w:val="center"/>
              <w:rPr>
                <w:rFonts w:ascii="宋体" w:hAnsi="宋体" w:cs="宋体"/>
                <w:szCs w:val="21"/>
              </w:rPr>
            </w:pPr>
          </w:p>
        </w:tc>
        <w:tc>
          <w:tcPr>
            <w:tcW w:w="992" w:type="dxa"/>
            <w:vAlign w:val="center"/>
          </w:tcPr>
          <w:p w14:paraId="482674AC">
            <w:pPr>
              <w:jc w:val="center"/>
              <w:rPr>
                <w:rFonts w:ascii="宋体" w:hAnsi="宋体" w:cs="宋体"/>
                <w:szCs w:val="21"/>
              </w:rPr>
            </w:pPr>
          </w:p>
        </w:tc>
        <w:tc>
          <w:tcPr>
            <w:tcW w:w="851" w:type="dxa"/>
          </w:tcPr>
          <w:p w14:paraId="70476268">
            <w:pPr>
              <w:jc w:val="center"/>
              <w:rPr>
                <w:rFonts w:ascii="宋体" w:hAnsi="宋体"/>
                <w:kern w:val="0"/>
                <w:szCs w:val="21"/>
              </w:rPr>
            </w:pPr>
          </w:p>
        </w:tc>
        <w:tc>
          <w:tcPr>
            <w:tcW w:w="992" w:type="dxa"/>
          </w:tcPr>
          <w:p w14:paraId="3BAF90F6">
            <w:pPr>
              <w:jc w:val="center"/>
              <w:rPr>
                <w:rFonts w:ascii="宋体" w:hAnsi="宋体"/>
                <w:kern w:val="0"/>
                <w:szCs w:val="21"/>
              </w:rPr>
            </w:pPr>
          </w:p>
        </w:tc>
        <w:tc>
          <w:tcPr>
            <w:tcW w:w="864" w:type="dxa"/>
            <w:vAlign w:val="center"/>
          </w:tcPr>
          <w:p w14:paraId="3EA5E7C5">
            <w:pPr>
              <w:jc w:val="center"/>
              <w:rPr>
                <w:rFonts w:ascii="宋体" w:hAnsi="宋体" w:cs="宋体"/>
                <w:kern w:val="0"/>
                <w:szCs w:val="21"/>
              </w:rPr>
            </w:pPr>
          </w:p>
        </w:tc>
      </w:tr>
      <w:tr w14:paraId="1ADD7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E2E8EA9">
            <w:pPr>
              <w:jc w:val="center"/>
              <w:rPr>
                <w:rFonts w:ascii="宋体" w:hAnsi="宋体"/>
                <w:kern w:val="0"/>
                <w:szCs w:val="21"/>
              </w:rPr>
            </w:pPr>
            <w:r>
              <w:rPr>
                <w:rFonts w:ascii="宋体" w:hAnsi="宋体"/>
                <w:kern w:val="0"/>
                <w:szCs w:val="21"/>
              </w:rPr>
              <w:t>4</w:t>
            </w:r>
          </w:p>
        </w:tc>
        <w:tc>
          <w:tcPr>
            <w:tcW w:w="1560" w:type="dxa"/>
            <w:vAlign w:val="center"/>
          </w:tcPr>
          <w:p w14:paraId="2B6968EB">
            <w:pPr>
              <w:jc w:val="center"/>
              <w:rPr>
                <w:rFonts w:ascii="宋体" w:hAnsi="宋体" w:cs="宋体"/>
                <w:szCs w:val="21"/>
              </w:rPr>
            </w:pPr>
          </w:p>
        </w:tc>
        <w:tc>
          <w:tcPr>
            <w:tcW w:w="1843" w:type="dxa"/>
            <w:vAlign w:val="center"/>
          </w:tcPr>
          <w:p w14:paraId="11B6E858">
            <w:pPr>
              <w:jc w:val="center"/>
              <w:rPr>
                <w:rFonts w:ascii="宋体" w:hAnsi="宋体" w:cs="宋体"/>
                <w:szCs w:val="21"/>
              </w:rPr>
            </w:pPr>
          </w:p>
        </w:tc>
        <w:tc>
          <w:tcPr>
            <w:tcW w:w="708" w:type="dxa"/>
            <w:vAlign w:val="center"/>
          </w:tcPr>
          <w:p w14:paraId="44F055C9">
            <w:pPr>
              <w:jc w:val="center"/>
              <w:rPr>
                <w:rFonts w:ascii="宋体" w:hAnsi="宋体" w:cs="宋体"/>
                <w:kern w:val="0"/>
                <w:szCs w:val="21"/>
              </w:rPr>
            </w:pPr>
          </w:p>
        </w:tc>
        <w:tc>
          <w:tcPr>
            <w:tcW w:w="567" w:type="dxa"/>
            <w:vAlign w:val="center"/>
          </w:tcPr>
          <w:p w14:paraId="4BABCF02">
            <w:pPr>
              <w:jc w:val="center"/>
              <w:rPr>
                <w:rFonts w:ascii="宋体" w:hAnsi="宋体" w:cs="宋体"/>
                <w:kern w:val="0"/>
                <w:szCs w:val="21"/>
              </w:rPr>
            </w:pPr>
          </w:p>
        </w:tc>
        <w:tc>
          <w:tcPr>
            <w:tcW w:w="851" w:type="dxa"/>
            <w:vAlign w:val="center"/>
          </w:tcPr>
          <w:p w14:paraId="230ACFDD">
            <w:pPr>
              <w:jc w:val="center"/>
              <w:rPr>
                <w:rFonts w:ascii="宋体" w:hAnsi="宋体" w:cs="宋体"/>
                <w:szCs w:val="21"/>
              </w:rPr>
            </w:pPr>
          </w:p>
        </w:tc>
        <w:tc>
          <w:tcPr>
            <w:tcW w:w="992" w:type="dxa"/>
            <w:vAlign w:val="center"/>
          </w:tcPr>
          <w:p w14:paraId="3C422759">
            <w:pPr>
              <w:jc w:val="center"/>
              <w:rPr>
                <w:rFonts w:ascii="宋体" w:hAnsi="宋体" w:cs="宋体"/>
                <w:szCs w:val="21"/>
              </w:rPr>
            </w:pPr>
          </w:p>
        </w:tc>
        <w:tc>
          <w:tcPr>
            <w:tcW w:w="851" w:type="dxa"/>
          </w:tcPr>
          <w:p w14:paraId="04701F33">
            <w:pPr>
              <w:jc w:val="center"/>
              <w:rPr>
                <w:rFonts w:ascii="宋体" w:hAnsi="宋体"/>
                <w:kern w:val="0"/>
                <w:szCs w:val="21"/>
              </w:rPr>
            </w:pPr>
          </w:p>
        </w:tc>
        <w:tc>
          <w:tcPr>
            <w:tcW w:w="992" w:type="dxa"/>
          </w:tcPr>
          <w:p w14:paraId="69D8D3F4">
            <w:pPr>
              <w:jc w:val="center"/>
              <w:rPr>
                <w:rFonts w:ascii="宋体" w:hAnsi="宋体"/>
                <w:kern w:val="0"/>
                <w:szCs w:val="21"/>
              </w:rPr>
            </w:pPr>
          </w:p>
        </w:tc>
        <w:tc>
          <w:tcPr>
            <w:tcW w:w="864" w:type="dxa"/>
            <w:vAlign w:val="center"/>
          </w:tcPr>
          <w:p w14:paraId="629CADAE">
            <w:pPr>
              <w:jc w:val="center"/>
              <w:rPr>
                <w:rFonts w:ascii="宋体" w:hAnsi="宋体" w:cs="宋体"/>
                <w:kern w:val="0"/>
                <w:szCs w:val="21"/>
              </w:rPr>
            </w:pPr>
          </w:p>
        </w:tc>
      </w:tr>
      <w:tr w14:paraId="5295C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666CFC7">
            <w:pPr>
              <w:jc w:val="center"/>
              <w:rPr>
                <w:rFonts w:ascii="宋体" w:hAnsi="宋体"/>
                <w:kern w:val="0"/>
                <w:szCs w:val="21"/>
              </w:rPr>
            </w:pPr>
            <w:r>
              <w:rPr>
                <w:rFonts w:hint="eastAsia" w:ascii="宋体" w:hAnsi="宋体"/>
                <w:kern w:val="0"/>
                <w:szCs w:val="21"/>
              </w:rPr>
              <w:t>5</w:t>
            </w:r>
          </w:p>
        </w:tc>
        <w:tc>
          <w:tcPr>
            <w:tcW w:w="1560" w:type="dxa"/>
            <w:vAlign w:val="center"/>
          </w:tcPr>
          <w:p w14:paraId="122D3D24">
            <w:pPr>
              <w:jc w:val="center"/>
              <w:rPr>
                <w:rFonts w:ascii="宋体" w:hAnsi="宋体" w:cs="宋体"/>
                <w:szCs w:val="21"/>
              </w:rPr>
            </w:pPr>
          </w:p>
        </w:tc>
        <w:tc>
          <w:tcPr>
            <w:tcW w:w="1843" w:type="dxa"/>
            <w:vAlign w:val="center"/>
          </w:tcPr>
          <w:p w14:paraId="0F26900F">
            <w:pPr>
              <w:jc w:val="center"/>
              <w:rPr>
                <w:rFonts w:ascii="宋体" w:hAnsi="宋体" w:cs="宋体"/>
                <w:szCs w:val="21"/>
              </w:rPr>
            </w:pPr>
          </w:p>
        </w:tc>
        <w:tc>
          <w:tcPr>
            <w:tcW w:w="708" w:type="dxa"/>
            <w:vAlign w:val="center"/>
          </w:tcPr>
          <w:p w14:paraId="78DF861D">
            <w:pPr>
              <w:jc w:val="center"/>
              <w:rPr>
                <w:rFonts w:ascii="宋体" w:hAnsi="宋体" w:cs="宋体"/>
                <w:kern w:val="0"/>
                <w:szCs w:val="21"/>
              </w:rPr>
            </w:pPr>
          </w:p>
        </w:tc>
        <w:tc>
          <w:tcPr>
            <w:tcW w:w="567" w:type="dxa"/>
            <w:vAlign w:val="center"/>
          </w:tcPr>
          <w:p w14:paraId="27383CC6">
            <w:pPr>
              <w:jc w:val="center"/>
              <w:rPr>
                <w:rFonts w:ascii="宋体" w:hAnsi="宋体" w:cs="宋体"/>
                <w:kern w:val="0"/>
                <w:szCs w:val="21"/>
              </w:rPr>
            </w:pPr>
          </w:p>
        </w:tc>
        <w:tc>
          <w:tcPr>
            <w:tcW w:w="851" w:type="dxa"/>
            <w:vAlign w:val="center"/>
          </w:tcPr>
          <w:p w14:paraId="0BE587B0">
            <w:pPr>
              <w:jc w:val="center"/>
              <w:rPr>
                <w:rFonts w:ascii="宋体" w:hAnsi="宋体" w:cs="宋体"/>
                <w:szCs w:val="21"/>
              </w:rPr>
            </w:pPr>
          </w:p>
        </w:tc>
        <w:tc>
          <w:tcPr>
            <w:tcW w:w="992" w:type="dxa"/>
            <w:vAlign w:val="center"/>
          </w:tcPr>
          <w:p w14:paraId="14759407">
            <w:pPr>
              <w:jc w:val="center"/>
              <w:rPr>
                <w:rFonts w:ascii="宋体" w:hAnsi="宋体" w:cs="宋体"/>
                <w:szCs w:val="21"/>
              </w:rPr>
            </w:pPr>
          </w:p>
        </w:tc>
        <w:tc>
          <w:tcPr>
            <w:tcW w:w="851" w:type="dxa"/>
          </w:tcPr>
          <w:p w14:paraId="68320E43">
            <w:pPr>
              <w:jc w:val="center"/>
              <w:rPr>
                <w:rFonts w:ascii="宋体" w:hAnsi="宋体"/>
                <w:kern w:val="0"/>
                <w:szCs w:val="21"/>
              </w:rPr>
            </w:pPr>
          </w:p>
        </w:tc>
        <w:tc>
          <w:tcPr>
            <w:tcW w:w="992" w:type="dxa"/>
          </w:tcPr>
          <w:p w14:paraId="37245275">
            <w:pPr>
              <w:jc w:val="center"/>
              <w:rPr>
                <w:rFonts w:ascii="宋体" w:hAnsi="宋体"/>
                <w:kern w:val="0"/>
                <w:szCs w:val="21"/>
              </w:rPr>
            </w:pPr>
          </w:p>
        </w:tc>
        <w:tc>
          <w:tcPr>
            <w:tcW w:w="864" w:type="dxa"/>
            <w:vAlign w:val="center"/>
          </w:tcPr>
          <w:p w14:paraId="06C21BC3">
            <w:pPr>
              <w:jc w:val="center"/>
              <w:rPr>
                <w:rFonts w:ascii="宋体" w:hAnsi="宋体"/>
                <w:szCs w:val="21"/>
              </w:rPr>
            </w:pPr>
          </w:p>
        </w:tc>
      </w:tr>
      <w:tr w14:paraId="1860B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58D21B4">
            <w:pPr>
              <w:jc w:val="center"/>
              <w:rPr>
                <w:kern w:val="0"/>
                <w:sz w:val="20"/>
              </w:rPr>
            </w:pPr>
            <w:r>
              <w:rPr>
                <w:rFonts w:hint="eastAsia"/>
                <w:kern w:val="0"/>
                <w:sz w:val="20"/>
              </w:rPr>
              <w:t>6</w:t>
            </w:r>
          </w:p>
        </w:tc>
        <w:tc>
          <w:tcPr>
            <w:tcW w:w="1560" w:type="dxa"/>
            <w:vAlign w:val="center"/>
          </w:tcPr>
          <w:p w14:paraId="225316E4">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155CD759">
            <w:pPr>
              <w:jc w:val="center"/>
              <w:rPr>
                <w:rFonts w:ascii="宋体" w:hAnsi="宋体" w:cs="宋体"/>
                <w:kern w:val="0"/>
                <w:sz w:val="18"/>
                <w:szCs w:val="18"/>
              </w:rPr>
            </w:pPr>
          </w:p>
        </w:tc>
        <w:tc>
          <w:tcPr>
            <w:tcW w:w="708" w:type="dxa"/>
            <w:vAlign w:val="center"/>
          </w:tcPr>
          <w:p w14:paraId="59625624">
            <w:pPr>
              <w:jc w:val="center"/>
              <w:rPr>
                <w:rFonts w:ascii="宋体" w:hAnsi="宋体" w:cs="宋体"/>
                <w:kern w:val="0"/>
                <w:sz w:val="18"/>
                <w:szCs w:val="18"/>
              </w:rPr>
            </w:pPr>
          </w:p>
        </w:tc>
        <w:tc>
          <w:tcPr>
            <w:tcW w:w="567" w:type="dxa"/>
            <w:vAlign w:val="center"/>
          </w:tcPr>
          <w:p w14:paraId="26C32B89">
            <w:pPr>
              <w:jc w:val="center"/>
              <w:rPr>
                <w:rFonts w:ascii="宋体" w:hAnsi="宋体" w:cs="宋体"/>
                <w:kern w:val="0"/>
                <w:sz w:val="18"/>
                <w:szCs w:val="18"/>
              </w:rPr>
            </w:pPr>
          </w:p>
        </w:tc>
        <w:tc>
          <w:tcPr>
            <w:tcW w:w="851" w:type="dxa"/>
            <w:vAlign w:val="center"/>
          </w:tcPr>
          <w:p w14:paraId="5E78436B">
            <w:pPr>
              <w:jc w:val="center"/>
              <w:rPr>
                <w:rFonts w:ascii="宋体" w:hAnsi="宋体" w:cs="宋体"/>
                <w:kern w:val="0"/>
                <w:sz w:val="18"/>
                <w:szCs w:val="18"/>
              </w:rPr>
            </w:pPr>
          </w:p>
        </w:tc>
        <w:tc>
          <w:tcPr>
            <w:tcW w:w="992" w:type="dxa"/>
            <w:vAlign w:val="center"/>
          </w:tcPr>
          <w:p w14:paraId="1D9D4AFB">
            <w:pPr>
              <w:jc w:val="center"/>
              <w:rPr>
                <w:rFonts w:ascii="宋体" w:hAnsi="宋体" w:cs="宋体"/>
                <w:kern w:val="0"/>
                <w:sz w:val="18"/>
                <w:szCs w:val="18"/>
              </w:rPr>
            </w:pPr>
          </w:p>
        </w:tc>
        <w:tc>
          <w:tcPr>
            <w:tcW w:w="851" w:type="dxa"/>
          </w:tcPr>
          <w:p w14:paraId="09E8195A">
            <w:pPr>
              <w:jc w:val="center"/>
              <w:rPr>
                <w:kern w:val="0"/>
                <w:sz w:val="18"/>
                <w:szCs w:val="18"/>
              </w:rPr>
            </w:pPr>
          </w:p>
        </w:tc>
        <w:tc>
          <w:tcPr>
            <w:tcW w:w="992" w:type="dxa"/>
          </w:tcPr>
          <w:p w14:paraId="4E4EB6C3">
            <w:pPr>
              <w:jc w:val="center"/>
              <w:rPr>
                <w:kern w:val="0"/>
                <w:sz w:val="18"/>
                <w:szCs w:val="18"/>
              </w:rPr>
            </w:pPr>
          </w:p>
        </w:tc>
        <w:tc>
          <w:tcPr>
            <w:tcW w:w="864" w:type="dxa"/>
          </w:tcPr>
          <w:p w14:paraId="7B0733E7">
            <w:pPr>
              <w:jc w:val="center"/>
              <w:rPr>
                <w:kern w:val="0"/>
                <w:sz w:val="18"/>
                <w:szCs w:val="18"/>
              </w:rPr>
            </w:pPr>
          </w:p>
        </w:tc>
      </w:tr>
    </w:tbl>
    <w:p w14:paraId="5B0B5C30">
      <w:pPr>
        <w:rPr>
          <w:b/>
          <w:bCs/>
          <w:color w:val="FF0000"/>
          <w:sz w:val="32"/>
          <w:szCs w:val="40"/>
          <w:highlight w:val="yellow"/>
        </w:rPr>
      </w:pPr>
    </w:p>
    <w:p w14:paraId="1FCECC0D">
      <w:pPr>
        <w:pStyle w:val="13"/>
        <w:rPr>
          <w:rFonts w:ascii="宋体" w:hAnsi="宋体" w:cs="宋体"/>
          <w:sz w:val="28"/>
          <w:szCs w:val="28"/>
        </w:rPr>
      </w:pPr>
      <w:r>
        <w:rPr>
          <w:rFonts w:hint="eastAsia" w:ascii="宋体" w:hAnsi="宋体" w:cs="宋体"/>
          <w:sz w:val="28"/>
          <w:szCs w:val="28"/>
        </w:rPr>
        <w:t>2、按照附件二“资格审查的合格条件”内容依次提供相关材料。</w:t>
      </w:r>
    </w:p>
    <w:p w14:paraId="6CC58E28">
      <w:pPr>
        <w:pStyle w:val="1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693C008B">
      <w:pPr>
        <w:adjustRightInd w:val="0"/>
        <w:snapToGrid w:val="0"/>
        <w:spacing w:line="300" w:lineRule="auto"/>
        <w:ind w:firstLine="480" w:firstLineChars="200"/>
        <w:jc w:val="center"/>
        <w:rPr>
          <w:sz w:val="24"/>
        </w:rPr>
      </w:pPr>
      <w:r>
        <w:rPr>
          <w:rFonts w:hint="eastAsia"/>
          <w:sz w:val="24"/>
        </w:rPr>
        <w:t>（报价文件与询价函的偏离）</w:t>
      </w:r>
    </w:p>
    <w:p w14:paraId="5CB0F096">
      <w:pPr>
        <w:adjustRightInd w:val="0"/>
        <w:snapToGrid w:val="0"/>
        <w:spacing w:line="300" w:lineRule="auto"/>
        <w:ind w:firstLine="480" w:firstLineChars="200"/>
        <w:rPr>
          <w:sz w:val="24"/>
        </w:rPr>
      </w:pPr>
    </w:p>
    <w:tbl>
      <w:tblPr>
        <w:tblStyle w:val="3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9FE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2FB19D25">
            <w:pPr>
              <w:adjustRightInd w:val="0"/>
              <w:snapToGrid w:val="0"/>
              <w:spacing w:line="300" w:lineRule="auto"/>
              <w:jc w:val="center"/>
              <w:rPr>
                <w:sz w:val="24"/>
              </w:rPr>
            </w:pPr>
            <w:r>
              <w:rPr>
                <w:rFonts w:hint="eastAsia"/>
                <w:sz w:val="24"/>
              </w:rPr>
              <w:t>序号</w:t>
            </w:r>
          </w:p>
        </w:tc>
        <w:tc>
          <w:tcPr>
            <w:tcW w:w="3301" w:type="dxa"/>
            <w:gridSpan w:val="2"/>
            <w:vAlign w:val="center"/>
          </w:tcPr>
          <w:p w14:paraId="423C36C5">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0B11237A">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28795252">
            <w:pPr>
              <w:adjustRightInd w:val="0"/>
              <w:snapToGrid w:val="0"/>
              <w:spacing w:line="300" w:lineRule="auto"/>
              <w:ind w:firstLine="480" w:firstLineChars="200"/>
              <w:jc w:val="center"/>
              <w:rPr>
                <w:sz w:val="24"/>
              </w:rPr>
            </w:pPr>
            <w:r>
              <w:rPr>
                <w:rFonts w:hint="eastAsia"/>
                <w:sz w:val="24"/>
              </w:rPr>
              <w:t>说  明</w:t>
            </w:r>
          </w:p>
        </w:tc>
      </w:tr>
      <w:tr w14:paraId="40E2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0D8A02DB">
            <w:pPr>
              <w:adjustRightInd w:val="0"/>
              <w:snapToGrid w:val="0"/>
              <w:spacing w:line="300" w:lineRule="auto"/>
              <w:ind w:firstLine="480" w:firstLineChars="200"/>
              <w:jc w:val="center"/>
              <w:rPr>
                <w:sz w:val="24"/>
              </w:rPr>
            </w:pPr>
          </w:p>
        </w:tc>
        <w:tc>
          <w:tcPr>
            <w:tcW w:w="1306" w:type="dxa"/>
            <w:vAlign w:val="center"/>
          </w:tcPr>
          <w:p w14:paraId="569AEB5C">
            <w:pPr>
              <w:adjustRightInd w:val="0"/>
              <w:snapToGrid w:val="0"/>
              <w:spacing w:line="300" w:lineRule="auto"/>
              <w:jc w:val="center"/>
              <w:rPr>
                <w:sz w:val="24"/>
              </w:rPr>
            </w:pPr>
            <w:r>
              <w:rPr>
                <w:rFonts w:hint="eastAsia"/>
                <w:sz w:val="24"/>
              </w:rPr>
              <w:t>条目号</w:t>
            </w:r>
          </w:p>
        </w:tc>
        <w:tc>
          <w:tcPr>
            <w:tcW w:w="1995" w:type="dxa"/>
            <w:vAlign w:val="center"/>
          </w:tcPr>
          <w:p w14:paraId="7A6615AD">
            <w:pPr>
              <w:adjustRightInd w:val="0"/>
              <w:snapToGrid w:val="0"/>
              <w:spacing w:line="300" w:lineRule="auto"/>
              <w:jc w:val="center"/>
              <w:rPr>
                <w:sz w:val="24"/>
              </w:rPr>
            </w:pPr>
            <w:r>
              <w:rPr>
                <w:rFonts w:hint="eastAsia"/>
                <w:sz w:val="24"/>
              </w:rPr>
              <w:t>技术/商务条款</w:t>
            </w:r>
          </w:p>
        </w:tc>
        <w:tc>
          <w:tcPr>
            <w:tcW w:w="1065" w:type="dxa"/>
            <w:vAlign w:val="center"/>
          </w:tcPr>
          <w:p w14:paraId="1E7C0BF6">
            <w:pPr>
              <w:adjustRightInd w:val="0"/>
              <w:snapToGrid w:val="0"/>
              <w:spacing w:line="300" w:lineRule="auto"/>
              <w:jc w:val="center"/>
              <w:rPr>
                <w:sz w:val="24"/>
              </w:rPr>
            </w:pPr>
            <w:r>
              <w:rPr>
                <w:rFonts w:hint="eastAsia"/>
                <w:sz w:val="24"/>
              </w:rPr>
              <w:t>条目号</w:t>
            </w:r>
          </w:p>
        </w:tc>
        <w:tc>
          <w:tcPr>
            <w:tcW w:w="1980" w:type="dxa"/>
            <w:vAlign w:val="center"/>
          </w:tcPr>
          <w:p w14:paraId="56FC71AF">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52AD7663">
            <w:pPr>
              <w:adjustRightInd w:val="0"/>
              <w:snapToGrid w:val="0"/>
              <w:spacing w:line="300" w:lineRule="auto"/>
              <w:ind w:firstLine="480" w:firstLineChars="200"/>
              <w:jc w:val="center"/>
              <w:rPr>
                <w:sz w:val="24"/>
              </w:rPr>
            </w:pPr>
          </w:p>
        </w:tc>
      </w:tr>
      <w:tr w14:paraId="6E44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75C75FE5">
            <w:pPr>
              <w:adjustRightInd w:val="0"/>
              <w:snapToGrid w:val="0"/>
              <w:spacing w:line="300" w:lineRule="auto"/>
              <w:ind w:firstLine="480" w:firstLineChars="200"/>
              <w:jc w:val="center"/>
              <w:rPr>
                <w:sz w:val="24"/>
              </w:rPr>
            </w:pPr>
          </w:p>
        </w:tc>
        <w:tc>
          <w:tcPr>
            <w:tcW w:w="1306" w:type="dxa"/>
            <w:vAlign w:val="center"/>
          </w:tcPr>
          <w:p w14:paraId="1F4D542F">
            <w:pPr>
              <w:adjustRightInd w:val="0"/>
              <w:snapToGrid w:val="0"/>
              <w:spacing w:line="300" w:lineRule="auto"/>
              <w:ind w:firstLine="480" w:firstLineChars="200"/>
              <w:jc w:val="center"/>
              <w:rPr>
                <w:sz w:val="24"/>
              </w:rPr>
            </w:pPr>
          </w:p>
        </w:tc>
        <w:tc>
          <w:tcPr>
            <w:tcW w:w="1995" w:type="dxa"/>
            <w:vAlign w:val="center"/>
          </w:tcPr>
          <w:p w14:paraId="78633BD1">
            <w:pPr>
              <w:adjustRightInd w:val="0"/>
              <w:snapToGrid w:val="0"/>
              <w:spacing w:line="300" w:lineRule="auto"/>
              <w:ind w:firstLine="480" w:firstLineChars="200"/>
              <w:jc w:val="center"/>
              <w:rPr>
                <w:sz w:val="24"/>
              </w:rPr>
            </w:pPr>
          </w:p>
        </w:tc>
        <w:tc>
          <w:tcPr>
            <w:tcW w:w="1065" w:type="dxa"/>
            <w:vAlign w:val="center"/>
          </w:tcPr>
          <w:p w14:paraId="60F1AF2D">
            <w:pPr>
              <w:adjustRightInd w:val="0"/>
              <w:snapToGrid w:val="0"/>
              <w:spacing w:line="300" w:lineRule="auto"/>
              <w:ind w:firstLine="480" w:firstLineChars="200"/>
              <w:jc w:val="center"/>
              <w:rPr>
                <w:sz w:val="24"/>
              </w:rPr>
            </w:pPr>
          </w:p>
        </w:tc>
        <w:tc>
          <w:tcPr>
            <w:tcW w:w="1980" w:type="dxa"/>
            <w:vAlign w:val="center"/>
          </w:tcPr>
          <w:p w14:paraId="575DF028">
            <w:pPr>
              <w:adjustRightInd w:val="0"/>
              <w:snapToGrid w:val="0"/>
              <w:spacing w:line="300" w:lineRule="auto"/>
              <w:ind w:firstLine="480" w:firstLineChars="200"/>
              <w:jc w:val="center"/>
              <w:rPr>
                <w:sz w:val="24"/>
              </w:rPr>
            </w:pPr>
          </w:p>
        </w:tc>
        <w:tc>
          <w:tcPr>
            <w:tcW w:w="1642" w:type="dxa"/>
            <w:vAlign w:val="center"/>
          </w:tcPr>
          <w:p w14:paraId="627C15F1">
            <w:pPr>
              <w:adjustRightInd w:val="0"/>
              <w:snapToGrid w:val="0"/>
              <w:spacing w:line="300" w:lineRule="auto"/>
              <w:ind w:firstLine="480" w:firstLineChars="200"/>
              <w:jc w:val="center"/>
              <w:rPr>
                <w:sz w:val="24"/>
              </w:rPr>
            </w:pPr>
          </w:p>
        </w:tc>
      </w:tr>
      <w:tr w14:paraId="1150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29DE33D">
            <w:pPr>
              <w:adjustRightInd w:val="0"/>
              <w:snapToGrid w:val="0"/>
              <w:spacing w:line="300" w:lineRule="auto"/>
              <w:ind w:firstLine="480" w:firstLineChars="200"/>
              <w:rPr>
                <w:sz w:val="24"/>
              </w:rPr>
            </w:pPr>
          </w:p>
        </w:tc>
        <w:tc>
          <w:tcPr>
            <w:tcW w:w="1306" w:type="dxa"/>
          </w:tcPr>
          <w:p w14:paraId="65763686">
            <w:pPr>
              <w:adjustRightInd w:val="0"/>
              <w:snapToGrid w:val="0"/>
              <w:spacing w:line="300" w:lineRule="auto"/>
              <w:ind w:firstLine="480" w:firstLineChars="200"/>
              <w:rPr>
                <w:sz w:val="24"/>
              </w:rPr>
            </w:pPr>
          </w:p>
        </w:tc>
        <w:tc>
          <w:tcPr>
            <w:tcW w:w="1995" w:type="dxa"/>
          </w:tcPr>
          <w:p w14:paraId="595611F2">
            <w:pPr>
              <w:adjustRightInd w:val="0"/>
              <w:snapToGrid w:val="0"/>
              <w:spacing w:line="300" w:lineRule="auto"/>
              <w:ind w:firstLine="480" w:firstLineChars="200"/>
              <w:rPr>
                <w:sz w:val="24"/>
              </w:rPr>
            </w:pPr>
          </w:p>
        </w:tc>
        <w:tc>
          <w:tcPr>
            <w:tcW w:w="1065" w:type="dxa"/>
          </w:tcPr>
          <w:p w14:paraId="09383D6D">
            <w:pPr>
              <w:adjustRightInd w:val="0"/>
              <w:snapToGrid w:val="0"/>
              <w:spacing w:line="300" w:lineRule="auto"/>
              <w:ind w:firstLine="480" w:firstLineChars="200"/>
              <w:rPr>
                <w:sz w:val="24"/>
              </w:rPr>
            </w:pPr>
          </w:p>
        </w:tc>
        <w:tc>
          <w:tcPr>
            <w:tcW w:w="1980" w:type="dxa"/>
          </w:tcPr>
          <w:p w14:paraId="47FB0E3E">
            <w:pPr>
              <w:adjustRightInd w:val="0"/>
              <w:snapToGrid w:val="0"/>
              <w:spacing w:line="300" w:lineRule="auto"/>
              <w:ind w:firstLine="480" w:firstLineChars="200"/>
              <w:rPr>
                <w:sz w:val="24"/>
              </w:rPr>
            </w:pPr>
          </w:p>
        </w:tc>
        <w:tc>
          <w:tcPr>
            <w:tcW w:w="1642" w:type="dxa"/>
          </w:tcPr>
          <w:p w14:paraId="2B2D3ACB">
            <w:pPr>
              <w:adjustRightInd w:val="0"/>
              <w:snapToGrid w:val="0"/>
              <w:spacing w:line="300" w:lineRule="auto"/>
              <w:ind w:firstLine="480" w:firstLineChars="200"/>
              <w:rPr>
                <w:sz w:val="24"/>
              </w:rPr>
            </w:pPr>
          </w:p>
        </w:tc>
      </w:tr>
      <w:tr w14:paraId="224C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E4B6AC1">
            <w:pPr>
              <w:adjustRightInd w:val="0"/>
              <w:snapToGrid w:val="0"/>
              <w:spacing w:line="300" w:lineRule="auto"/>
              <w:ind w:firstLine="480" w:firstLineChars="200"/>
              <w:rPr>
                <w:sz w:val="24"/>
              </w:rPr>
            </w:pPr>
          </w:p>
        </w:tc>
        <w:tc>
          <w:tcPr>
            <w:tcW w:w="1306" w:type="dxa"/>
          </w:tcPr>
          <w:p w14:paraId="391138F2">
            <w:pPr>
              <w:adjustRightInd w:val="0"/>
              <w:snapToGrid w:val="0"/>
              <w:spacing w:line="300" w:lineRule="auto"/>
              <w:ind w:firstLine="480" w:firstLineChars="200"/>
              <w:rPr>
                <w:sz w:val="24"/>
              </w:rPr>
            </w:pPr>
          </w:p>
        </w:tc>
        <w:tc>
          <w:tcPr>
            <w:tcW w:w="1995" w:type="dxa"/>
          </w:tcPr>
          <w:p w14:paraId="6623CC3F">
            <w:pPr>
              <w:adjustRightInd w:val="0"/>
              <w:snapToGrid w:val="0"/>
              <w:spacing w:line="300" w:lineRule="auto"/>
              <w:ind w:firstLine="480" w:firstLineChars="200"/>
              <w:rPr>
                <w:sz w:val="24"/>
              </w:rPr>
            </w:pPr>
          </w:p>
        </w:tc>
        <w:tc>
          <w:tcPr>
            <w:tcW w:w="1065" w:type="dxa"/>
          </w:tcPr>
          <w:p w14:paraId="6AFC2CE7">
            <w:pPr>
              <w:adjustRightInd w:val="0"/>
              <w:snapToGrid w:val="0"/>
              <w:spacing w:line="300" w:lineRule="auto"/>
              <w:ind w:firstLine="480" w:firstLineChars="200"/>
              <w:rPr>
                <w:sz w:val="24"/>
              </w:rPr>
            </w:pPr>
          </w:p>
        </w:tc>
        <w:tc>
          <w:tcPr>
            <w:tcW w:w="1980" w:type="dxa"/>
          </w:tcPr>
          <w:p w14:paraId="5D64FD03">
            <w:pPr>
              <w:adjustRightInd w:val="0"/>
              <w:snapToGrid w:val="0"/>
              <w:spacing w:line="300" w:lineRule="auto"/>
              <w:ind w:firstLine="480" w:firstLineChars="200"/>
              <w:rPr>
                <w:sz w:val="24"/>
              </w:rPr>
            </w:pPr>
          </w:p>
        </w:tc>
        <w:tc>
          <w:tcPr>
            <w:tcW w:w="1642" w:type="dxa"/>
          </w:tcPr>
          <w:p w14:paraId="5838AEA7">
            <w:pPr>
              <w:adjustRightInd w:val="0"/>
              <w:snapToGrid w:val="0"/>
              <w:spacing w:line="300" w:lineRule="auto"/>
              <w:ind w:firstLine="480" w:firstLineChars="200"/>
              <w:rPr>
                <w:sz w:val="24"/>
              </w:rPr>
            </w:pPr>
          </w:p>
        </w:tc>
      </w:tr>
      <w:tr w14:paraId="7D13A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C15177F">
            <w:pPr>
              <w:adjustRightInd w:val="0"/>
              <w:snapToGrid w:val="0"/>
              <w:spacing w:line="300" w:lineRule="auto"/>
              <w:ind w:firstLine="480" w:firstLineChars="200"/>
              <w:rPr>
                <w:sz w:val="24"/>
              </w:rPr>
            </w:pPr>
          </w:p>
        </w:tc>
        <w:tc>
          <w:tcPr>
            <w:tcW w:w="1306" w:type="dxa"/>
          </w:tcPr>
          <w:p w14:paraId="2322D8F1">
            <w:pPr>
              <w:adjustRightInd w:val="0"/>
              <w:snapToGrid w:val="0"/>
              <w:spacing w:line="300" w:lineRule="auto"/>
              <w:ind w:firstLine="480" w:firstLineChars="200"/>
              <w:rPr>
                <w:sz w:val="24"/>
              </w:rPr>
            </w:pPr>
          </w:p>
        </w:tc>
        <w:tc>
          <w:tcPr>
            <w:tcW w:w="1995" w:type="dxa"/>
          </w:tcPr>
          <w:p w14:paraId="1EA87497">
            <w:pPr>
              <w:adjustRightInd w:val="0"/>
              <w:snapToGrid w:val="0"/>
              <w:spacing w:line="300" w:lineRule="auto"/>
              <w:ind w:firstLine="480" w:firstLineChars="200"/>
              <w:rPr>
                <w:sz w:val="24"/>
              </w:rPr>
            </w:pPr>
          </w:p>
        </w:tc>
        <w:tc>
          <w:tcPr>
            <w:tcW w:w="1065" w:type="dxa"/>
          </w:tcPr>
          <w:p w14:paraId="0347FF32">
            <w:pPr>
              <w:adjustRightInd w:val="0"/>
              <w:snapToGrid w:val="0"/>
              <w:spacing w:line="300" w:lineRule="auto"/>
              <w:ind w:firstLine="480" w:firstLineChars="200"/>
              <w:rPr>
                <w:sz w:val="24"/>
              </w:rPr>
            </w:pPr>
          </w:p>
        </w:tc>
        <w:tc>
          <w:tcPr>
            <w:tcW w:w="1980" w:type="dxa"/>
          </w:tcPr>
          <w:p w14:paraId="2B00C98B">
            <w:pPr>
              <w:adjustRightInd w:val="0"/>
              <w:snapToGrid w:val="0"/>
              <w:spacing w:line="300" w:lineRule="auto"/>
              <w:ind w:firstLine="480" w:firstLineChars="200"/>
              <w:rPr>
                <w:sz w:val="24"/>
              </w:rPr>
            </w:pPr>
          </w:p>
        </w:tc>
        <w:tc>
          <w:tcPr>
            <w:tcW w:w="1642" w:type="dxa"/>
          </w:tcPr>
          <w:p w14:paraId="45F74B0C">
            <w:pPr>
              <w:adjustRightInd w:val="0"/>
              <w:snapToGrid w:val="0"/>
              <w:spacing w:line="300" w:lineRule="auto"/>
              <w:ind w:firstLine="480" w:firstLineChars="200"/>
              <w:rPr>
                <w:sz w:val="24"/>
              </w:rPr>
            </w:pPr>
          </w:p>
        </w:tc>
      </w:tr>
      <w:tr w14:paraId="2F6E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1FFAF61">
            <w:pPr>
              <w:adjustRightInd w:val="0"/>
              <w:snapToGrid w:val="0"/>
              <w:spacing w:line="300" w:lineRule="auto"/>
              <w:ind w:firstLine="480" w:firstLineChars="200"/>
              <w:rPr>
                <w:sz w:val="24"/>
              </w:rPr>
            </w:pPr>
          </w:p>
        </w:tc>
        <w:tc>
          <w:tcPr>
            <w:tcW w:w="1306" w:type="dxa"/>
          </w:tcPr>
          <w:p w14:paraId="5B0AAB50">
            <w:pPr>
              <w:adjustRightInd w:val="0"/>
              <w:snapToGrid w:val="0"/>
              <w:spacing w:line="300" w:lineRule="auto"/>
              <w:ind w:firstLine="480" w:firstLineChars="200"/>
              <w:rPr>
                <w:sz w:val="24"/>
              </w:rPr>
            </w:pPr>
          </w:p>
        </w:tc>
        <w:tc>
          <w:tcPr>
            <w:tcW w:w="1995" w:type="dxa"/>
          </w:tcPr>
          <w:p w14:paraId="315D011D">
            <w:pPr>
              <w:adjustRightInd w:val="0"/>
              <w:snapToGrid w:val="0"/>
              <w:spacing w:line="300" w:lineRule="auto"/>
              <w:ind w:firstLine="480" w:firstLineChars="200"/>
              <w:rPr>
                <w:sz w:val="24"/>
              </w:rPr>
            </w:pPr>
          </w:p>
        </w:tc>
        <w:tc>
          <w:tcPr>
            <w:tcW w:w="1065" w:type="dxa"/>
          </w:tcPr>
          <w:p w14:paraId="64533551">
            <w:pPr>
              <w:adjustRightInd w:val="0"/>
              <w:snapToGrid w:val="0"/>
              <w:spacing w:line="300" w:lineRule="auto"/>
              <w:ind w:firstLine="480" w:firstLineChars="200"/>
              <w:rPr>
                <w:sz w:val="24"/>
              </w:rPr>
            </w:pPr>
          </w:p>
        </w:tc>
        <w:tc>
          <w:tcPr>
            <w:tcW w:w="1980" w:type="dxa"/>
          </w:tcPr>
          <w:p w14:paraId="349FA2DC">
            <w:pPr>
              <w:adjustRightInd w:val="0"/>
              <w:snapToGrid w:val="0"/>
              <w:spacing w:line="300" w:lineRule="auto"/>
              <w:ind w:firstLine="480" w:firstLineChars="200"/>
              <w:rPr>
                <w:sz w:val="24"/>
              </w:rPr>
            </w:pPr>
          </w:p>
        </w:tc>
        <w:tc>
          <w:tcPr>
            <w:tcW w:w="1642" w:type="dxa"/>
          </w:tcPr>
          <w:p w14:paraId="36E597E1">
            <w:pPr>
              <w:adjustRightInd w:val="0"/>
              <w:snapToGrid w:val="0"/>
              <w:spacing w:line="300" w:lineRule="auto"/>
              <w:ind w:firstLine="480" w:firstLineChars="200"/>
              <w:rPr>
                <w:sz w:val="24"/>
              </w:rPr>
            </w:pPr>
          </w:p>
        </w:tc>
      </w:tr>
      <w:tr w14:paraId="5DBF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F93D14F">
            <w:pPr>
              <w:adjustRightInd w:val="0"/>
              <w:snapToGrid w:val="0"/>
              <w:spacing w:line="300" w:lineRule="auto"/>
              <w:ind w:firstLine="480" w:firstLineChars="200"/>
              <w:rPr>
                <w:sz w:val="24"/>
              </w:rPr>
            </w:pPr>
          </w:p>
        </w:tc>
        <w:tc>
          <w:tcPr>
            <w:tcW w:w="1306" w:type="dxa"/>
          </w:tcPr>
          <w:p w14:paraId="45CC4710">
            <w:pPr>
              <w:adjustRightInd w:val="0"/>
              <w:snapToGrid w:val="0"/>
              <w:spacing w:line="300" w:lineRule="auto"/>
              <w:ind w:firstLine="480" w:firstLineChars="200"/>
              <w:rPr>
                <w:sz w:val="24"/>
              </w:rPr>
            </w:pPr>
          </w:p>
        </w:tc>
        <w:tc>
          <w:tcPr>
            <w:tcW w:w="1995" w:type="dxa"/>
          </w:tcPr>
          <w:p w14:paraId="0F3FF237">
            <w:pPr>
              <w:adjustRightInd w:val="0"/>
              <w:snapToGrid w:val="0"/>
              <w:spacing w:line="300" w:lineRule="auto"/>
              <w:ind w:firstLine="480" w:firstLineChars="200"/>
              <w:rPr>
                <w:sz w:val="24"/>
              </w:rPr>
            </w:pPr>
          </w:p>
        </w:tc>
        <w:tc>
          <w:tcPr>
            <w:tcW w:w="1065" w:type="dxa"/>
          </w:tcPr>
          <w:p w14:paraId="4B375D48">
            <w:pPr>
              <w:adjustRightInd w:val="0"/>
              <w:snapToGrid w:val="0"/>
              <w:spacing w:line="300" w:lineRule="auto"/>
              <w:ind w:firstLine="480" w:firstLineChars="200"/>
              <w:rPr>
                <w:sz w:val="24"/>
              </w:rPr>
            </w:pPr>
          </w:p>
        </w:tc>
        <w:tc>
          <w:tcPr>
            <w:tcW w:w="1980" w:type="dxa"/>
          </w:tcPr>
          <w:p w14:paraId="7C5B3B85">
            <w:pPr>
              <w:adjustRightInd w:val="0"/>
              <w:snapToGrid w:val="0"/>
              <w:spacing w:line="300" w:lineRule="auto"/>
              <w:ind w:firstLine="480" w:firstLineChars="200"/>
              <w:rPr>
                <w:sz w:val="24"/>
              </w:rPr>
            </w:pPr>
          </w:p>
        </w:tc>
        <w:tc>
          <w:tcPr>
            <w:tcW w:w="1642" w:type="dxa"/>
          </w:tcPr>
          <w:p w14:paraId="76D1A32F">
            <w:pPr>
              <w:adjustRightInd w:val="0"/>
              <w:snapToGrid w:val="0"/>
              <w:spacing w:line="300" w:lineRule="auto"/>
              <w:ind w:firstLine="480" w:firstLineChars="200"/>
              <w:rPr>
                <w:sz w:val="24"/>
              </w:rPr>
            </w:pPr>
          </w:p>
        </w:tc>
      </w:tr>
    </w:tbl>
    <w:p w14:paraId="10244D4F">
      <w:pPr>
        <w:adjustRightInd w:val="0"/>
        <w:snapToGrid w:val="0"/>
        <w:spacing w:line="300" w:lineRule="auto"/>
        <w:ind w:firstLine="480" w:firstLineChars="200"/>
        <w:rPr>
          <w:sz w:val="24"/>
        </w:rPr>
      </w:pPr>
    </w:p>
    <w:p w14:paraId="6DF2B0F9">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BA99AA3">
      <w:pPr>
        <w:adjustRightInd w:val="0"/>
        <w:snapToGrid w:val="0"/>
        <w:spacing w:line="300" w:lineRule="auto"/>
        <w:ind w:firstLine="480" w:firstLineChars="200"/>
        <w:rPr>
          <w:sz w:val="24"/>
        </w:rPr>
      </w:pPr>
    </w:p>
    <w:p w14:paraId="688BAD4B">
      <w:pPr>
        <w:adjustRightInd w:val="0"/>
        <w:snapToGrid w:val="0"/>
        <w:spacing w:line="300" w:lineRule="auto"/>
        <w:ind w:firstLine="480" w:firstLineChars="200"/>
        <w:rPr>
          <w:sz w:val="24"/>
        </w:rPr>
      </w:pPr>
    </w:p>
    <w:p w14:paraId="3F6EAA34">
      <w:pPr>
        <w:adjustRightInd w:val="0"/>
        <w:snapToGrid w:val="0"/>
        <w:spacing w:line="300" w:lineRule="auto"/>
        <w:ind w:firstLine="480" w:firstLineChars="200"/>
        <w:jc w:val="center"/>
        <w:rPr>
          <w:sz w:val="24"/>
        </w:rPr>
      </w:pPr>
      <w:r>
        <w:rPr>
          <w:rFonts w:hint="eastAsia"/>
          <w:sz w:val="24"/>
        </w:rPr>
        <w:t xml:space="preserve">                                      报价人全称（盖章）：                                     </w:t>
      </w:r>
    </w:p>
    <w:p w14:paraId="229F06FB">
      <w:pPr>
        <w:adjustRightInd w:val="0"/>
        <w:snapToGrid w:val="0"/>
        <w:spacing w:line="300" w:lineRule="auto"/>
        <w:ind w:firstLine="480" w:firstLineChars="200"/>
        <w:jc w:val="center"/>
        <w:rPr>
          <w:sz w:val="24"/>
        </w:rPr>
      </w:pPr>
    </w:p>
    <w:p w14:paraId="5F82BED9">
      <w:pPr>
        <w:adjustRightInd w:val="0"/>
        <w:snapToGrid w:val="0"/>
        <w:spacing w:line="300" w:lineRule="auto"/>
        <w:ind w:firstLine="480" w:firstLineChars="200"/>
        <w:jc w:val="center"/>
        <w:rPr>
          <w:sz w:val="24"/>
        </w:rPr>
      </w:pPr>
      <w:r>
        <w:rPr>
          <w:rFonts w:hint="eastAsia"/>
          <w:sz w:val="24"/>
        </w:rPr>
        <w:t xml:space="preserve">                                     日期：   年  月  日</w:t>
      </w:r>
    </w:p>
    <w:p w14:paraId="5DE3EA98">
      <w:pPr>
        <w:pStyle w:val="1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3E43764">
      <w:pPr>
        <w:pStyle w:val="13"/>
        <w:rPr>
          <w:rFonts w:ascii="宋体" w:hAnsi="宋体" w:cs="宋体"/>
          <w:sz w:val="28"/>
          <w:szCs w:val="28"/>
        </w:rPr>
      </w:pPr>
      <w:r>
        <w:rPr>
          <w:rFonts w:hint="eastAsia" w:ascii="宋体" w:hAnsi="宋体" w:cs="宋体"/>
          <w:sz w:val="28"/>
          <w:szCs w:val="28"/>
        </w:rPr>
        <w:t>5、报价单位认为需要提供的其他材料。</w:t>
      </w:r>
    </w:p>
    <w:p w14:paraId="5AB2CE78">
      <w:pPr>
        <w:rPr>
          <w:rFonts w:ascii="宋体" w:hAnsi="宋体"/>
          <w:sz w:val="28"/>
          <w:szCs w:val="28"/>
        </w:rPr>
      </w:pPr>
    </w:p>
    <w:p w14:paraId="5060A6D1">
      <w:pPr>
        <w:pStyle w:val="13"/>
      </w:pPr>
    </w:p>
    <w:sectPr>
      <w:footerReference r:id="rId14" w:type="first"/>
      <w:footerReference r:id="rId12" w:type="default"/>
      <w:footerReference r:id="rId13"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报宋简体">
    <w:altName w:val="宋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体">
    <w:altName w:val="黑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425E7"/>
  <w:p w14:paraId="0CCD43FA">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48D2E">
    <w:pPr>
      <w:pStyle w:val="23"/>
      <w:ind w:right="360"/>
      <w:jc w:val="center"/>
      <w:rPr>
        <w:u w:val="single"/>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5" name="矩形 1"/>
              <wp:cNvGraphicFramePr/>
              <a:graphic xmlns:a="http://schemas.openxmlformats.org/drawingml/2006/main">
                <a:graphicData uri="http://schemas.microsoft.com/office/word/2010/wordprocessingShape">
                  <wps:wsp>
                    <wps:cNvSpPr/>
                    <wps:spPr>
                      <a:xfrm>
                        <a:off x="0" y="0"/>
                        <a:ext cx="133985" cy="153035"/>
                      </a:xfrm>
                      <a:prstGeom prst="rect">
                        <a:avLst/>
                      </a:prstGeom>
                      <a:noFill/>
                      <a:ln>
                        <a:noFill/>
                      </a:ln>
                      <a:effectLst/>
                    </wps:spPr>
                    <wps:txbx>
                      <w:txbxContent>
                        <w:p w14:paraId="0EA1FF97">
                          <w:pPr>
                            <w:snapToGrid w:val="0"/>
                            <w:rPr>
                              <w:sz w:val="18"/>
                            </w:rPr>
                          </w:pPr>
                          <w:r>
                            <w:fldChar w:fldCharType="begin"/>
                          </w:r>
                          <w:r>
                            <w:rPr>
                              <w:szCs w:val="22"/>
                            </w:rP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rect id="矩形 1" o:spid="_x0000_s1026"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fill on="f" focussize="0,0"/>
              <v:stroke on="f"/>
              <v:imagedata o:title=""/>
              <o:lock v:ext="edit" aspectratio="f"/>
              <v:textbox inset="0mm,0mm,0mm,0mm" style="mso-fit-shape-to-text:t;">
                <w:txbxContent>
                  <w:p w14:paraId="0EA1FF97">
                    <w:pPr>
                      <w:snapToGrid w:val="0"/>
                      <w:rPr>
                        <w:sz w:val="18"/>
                      </w:rPr>
                    </w:pPr>
                    <w:r>
                      <w:fldChar w:fldCharType="begin"/>
                    </w:r>
                    <w:r>
                      <w:rPr>
                        <w:szCs w:val="22"/>
                      </w:rPr>
                      <w:instrText xml:space="preserve"> PAGE  \* MERGEFORMAT </w:instrText>
                    </w:r>
                    <w:r>
                      <w:fldChar w:fldCharType="separate"/>
                    </w:r>
                    <w:r>
                      <w:t>25</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37AB9">
    <w:pPr>
      <w:pStyle w:val="23"/>
      <w:framePr w:wrap="around" w:vAnchor="text" w:hAnchor="margin" w:xAlign="center" w:y="1"/>
      <w:rPr>
        <w:rStyle w:val="39"/>
      </w:rPr>
    </w:pPr>
    <w:r>
      <w:fldChar w:fldCharType="begin"/>
    </w:r>
    <w:r>
      <w:rPr>
        <w:rStyle w:val="39"/>
        <w:rFonts w:asciiTheme="minorHAnsi" w:hAnsiTheme="minorHAnsi" w:eastAsiaTheme="minorEastAsia" w:cstheme="minorBidi"/>
      </w:rPr>
      <w:instrText xml:space="preserve">PAGE  </w:instrText>
    </w:r>
    <w:r>
      <w:fldChar w:fldCharType="separate"/>
    </w:r>
    <w:r>
      <w:rPr>
        <w:rStyle w:val="39"/>
        <w:rFonts w:asciiTheme="minorHAnsi" w:hAnsiTheme="minorHAnsi" w:eastAsiaTheme="minorEastAsia" w:cstheme="minorBidi"/>
      </w:rPr>
      <w:t>20</w:t>
    </w:r>
    <w:r>
      <w:fldChar w:fldCharType="end"/>
    </w:r>
  </w:p>
  <w:p w14:paraId="74E9C93D">
    <w:pPr>
      <w:pStyle w:val="2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53FAC">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07EFCEC5">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fill on="f" focussize="0,0"/>
              <v:stroke on="f"/>
              <v:imagedata o:title=""/>
              <o:lock v:ext="edit" aspectratio="f"/>
              <v:textbox inset="0mm,0mm,0mm,0mm" style="mso-fit-shape-to-text:t;">
                <w:txbxContent>
                  <w:p w14:paraId="07EFCEC5">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90A77">
    <w:pPr>
      <w:pStyle w:val="24"/>
      <w:jc w:val="both"/>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E8682">
    <w:pPr>
      <w:pStyle w:val="24"/>
    </w:pPr>
    <w: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1828800" cy="2286000"/>
          <wp:effectExtent l="0" t="0" r="0" b="0"/>
          <wp:wrapNone/>
          <wp:docPr id="1" name="WordPictureWatermark3562876" descr="Drawing5-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562876" descr="Drawing5-Model"/>
                  <pic:cNvPicPr>
                    <a:picLocks noChangeAspect="1"/>
                  </pic:cNvPicPr>
                </pic:nvPicPr>
                <pic:blipFill>
                  <a:blip r:embed="rId1"/>
                  <a:stretch>
                    <a:fillRect/>
                  </a:stretch>
                </pic:blipFill>
                <pic:spPr>
                  <a:xfrm>
                    <a:off x="0" y="0"/>
                    <a:ext cx="1828800" cy="22860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A4103">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5654C">
    <w:pPr>
      <w:pStyle w:val="24"/>
    </w:pPr>
    <w:r>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1828800" cy="2286000"/>
          <wp:effectExtent l="0" t="0" r="0" b="0"/>
          <wp:wrapNone/>
          <wp:docPr id="2" name="WordPictureWatermark3562879" descr="Drawing5-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562879" descr="Drawing5-Model"/>
                  <pic:cNvPicPr>
                    <a:picLocks noChangeAspect="1"/>
                  </pic:cNvPicPr>
                </pic:nvPicPr>
                <pic:blipFill>
                  <a:blip r:embed="rId1"/>
                  <a:stretch>
                    <a:fillRect/>
                  </a:stretch>
                </pic:blipFill>
                <pic:spPr>
                  <a:xfrm>
                    <a:off x="0" y="0"/>
                    <a:ext cx="1828800" cy="228600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93107">
    <w:pPr>
      <w:pStyle w:val="2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08D19">
    <w:pPr>
      <w:pStyle w:val="2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24714">
    <w:pPr>
      <w:pStyle w:val="24"/>
    </w:pPr>
    <w:r>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1828800" cy="2286000"/>
          <wp:effectExtent l="0" t="0" r="0" b="0"/>
          <wp:wrapNone/>
          <wp:docPr id="3" name="WordPictureWatermark3562882" descr="Drawing5-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3562882" descr="Drawing5-Model"/>
                  <pic:cNvPicPr>
                    <a:picLocks noChangeAspect="1"/>
                  </pic:cNvPicPr>
                </pic:nvPicPr>
                <pic:blipFill>
                  <a:blip r:embed="rId1"/>
                  <a:stretch>
                    <a:fillRect/>
                  </a:stretch>
                </pic:blipFill>
                <pic:spPr>
                  <a:xfrm>
                    <a:off x="0" y="0"/>
                    <a:ext cx="1828800" cy="228600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8D99A">
    <w:pPr>
      <w:pStyle w:val="24"/>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07823673"/>
    <w:multiLevelType w:val="multilevel"/>
    <w:tmpl w:val="07823673"/>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1BB1805"/>
    <w:multiLevelType w:val="multilevel"/>
    <w:tmpl w:val="31BB1805"/>
    <w:lvl w:ilvl="0" w:tentative="0">
      <w:start w:val="1"/>
      <w:numFmt w:val="decimal"/>
      <w:suff w:val="space"/>
      <w:lvlText w:val="%1"/>
      <w:lvlJc w:val="left"/>
      <w:pPr>
        <w:ind w:left="0"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 w:numId="2">
    <w:abstractNumId w:val="3"/>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1"/>
    <w:lvlOverride w:ilvl="0">
      <w:startOverride w:val="1"/>
    </w:lvlOverride>
  </w:num>
  <w:num w:numId="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500F7"/>
    <w:rsid w:val="00001F43"/>
    <w:rsid w:val="00001FBA"/>
    <w:rsid w:val="00004B34"/>
    <w:rsid w:val="000055A7"/>
    <w:rsid w:val="000157B8"/>
    <w:rsid w:val="000213B1"/>
    <w:rsid w:val="00025A26"/>
    <w:rsid w:val="000333C4"/>
    <w:rsid w:val="00041EA7"/>
    <w:rsid w:val="00043A50"/>
    <w:rsid w:val="00047E49"/>
    <w:rsid w:val="0005225A"/>
    <w:rsid w:val="0005717A"/>
    <w:rsid w:val="00063EFB"/>
    <w:rsid w:val="00072179"/>
    <w:rsid w:val="00093764"/>
    <w:rsid w:val="000938BF"/>
    <w:rsid w:val="00094C9F"/>
    <w:rsid w:val="000A0BB5"/>
    <w:rsid w:val="000A2D39"/>
    <w:rsid w:val="000A7B84"/>
    <w:rsid w:val="000C7A9F"/>
    <w:rsid w:val="00106D71"/>
    <w:rsid w:val="0011036B"/>
    <w:rsid w:val="00114F2A"/>
    <w:rsid w:val="0012115A"/>
    <w:rsid w:val="00125B69"/>
    <w:rsid w:val="00146BFA"/>
    <w:rsid w:val="00150545"/>
    <w:rsid w:val="00155070"/>
    <w:rsid w:val="001566C9"/>
    <w:rsid w:val="00156E9A"/>
    <w:rsid w:val="00156EC5"/>
    <w:rsid w:val="001655BC"/>
    <w:rsid w:val="001716A3"/>
    <w:rsid w:val="00176D9D"/>
    <w:rsid w:val="00186246"/>
    <w:rsid w:val="00194354"/>
    <w:rsid w:val="001A3664"/>
    <w:rsid w:val="001D23DB"/>
    <w:rsid w:val="001E4056"/>
    <w:rsid w:val="001E5F0D"/>
    <w:rsid w:val="002018DF"/>
    <w:rsid w:val="0021481B"/>
    <w:rsid w:val="00220B3D"/>
    <w:rsid w:val="00224FC6"/>
    <w:rsid w:val="0022755F"/>
    <w:rsid w:val="00255E06"/>
    <w:rsid w:val="00257DA6"/>
    <w:rsid w:val="0026180E"/>
    <w:rsid w:val="00261CFC"/>
    <w:rsid w:val="002725E0"/>
    <w:rsid w:val="0027397D"/>
    <w:rsid w:val="0027483F"/>
    <w:rsid w:val="002876FE"/>
    <w:rsid w:val="002946D2"/>
    <w:rsid w:val="002B43AC"/>
    <w:rsid w:val="002B52BB"/>
    <w:rsid w:val="002C0DBF"/>
    <w:rsid w:val="002E4B9C"/>
    <w:rsid w:val="002E5076"/>
    <w:rsid w:val="002F48D1"/>
    <w:rsid w:val="002F4D55"/>
    <w:rsid w:val="002F7FE5"/>
    <w:rsid w:val="00314107"/>
    <w:rsid w:val="003146E7"/>
    <w:rsid w:val="003230A7"/>
    <w:rsid w:val="00325507"/>
    <w:rsid w:val="00325E29"/>
    <w:rsid w:val="003273CD"/>
    <w:rsid w:val="00345FBB"/>
    <w:rsid w:val="003465C5"/>
    <w:rsid w:val="00347703"/>
    <w:rsid w:val="00347E72"/>
    <w:rsid w:val="0035186D"/>
    <w:rsid w:val="0035632A"/>
    <w:rsid w:val="00380841"/>
    <w:rsid w:val="00381002"/>
    <w:rsid w:val="003C6C93"/>
    <w:rsid w:val="003D533A"/>
    <w:rsid w:val="003D5FF7"/>
    <w:rsid w:val="00401266"/>
    <w:rsid w:val="0040471C"/>
    <w:rsid w:val="00410D6D"/>
    <w:rsid w:val="00413494"/>
    <w:rsid w:val="00417F16"/>
    <w:rsid w:val="00420B24"/>
    <w:rsid w:val="004214A4"/>
    <w:rsid w:val="00425937"/>
    <w:rsid w:val="0043670E"/>
    <w:rsid w:val="00441AA0"/>
    <w:rsid w:val="00443F7D"/>
    <w:rsid w:val="004449CD"/>
    <w:rsid w:val="004463BF"/>
    <w:rsid w:val="00451E96"/>
    <w:rsid w:val="00454395"/>
    <w:rsid w:val="00456B8A"/>
    <w:rsid w:val="00464106"/>
    <w:rsid w:val="004762A6"/>
    <w:rsid w:val="00481185"/>
    <w:rsid w:val="004922D9"/>
    <w:rsid w:val="004C37FB"/>
    <w:rsid w:val="004C6D78"/>
    <w:rsid w:val="004E2B68"/>
    <w:rsid w:val="004E7A8C"/>
    <w:rsid w:val="00503327"/>
    <w:rsid w:val="0050575A"/>
    <w:rsid w:val="00510B48"/>
    <w:rsid w:val="005131DF"/>
    <w:rsid w:val="0051754B"/>
    <w:rsid w:val="00520FA6"/>
    <w:rsid w:val="005272DB"/>
    <w:rsid w:val="005310F2"/>
    <w:rsid w:val="00534BA1"/>
    <w:rsid w:val="00542333"/>
    <w:rsid w:val="005448A2"/>
    <w:rsid w:val="005473AE"/>
    <w:rsid w:val="0056163A"/>
    <w:rsid w:val="00571D93"/>
    <w:rsid w:val="005753C3"/>
    <w:rsid w:val="00575549"/>
    <w:rsid w:val="00577B50"/>
    <w:rsid w:val="005833D4"/>
    <w:rsid w:val="0058376B"/>
    <w:rsid w:val="005952BB"/>
    <w:rsid w:val="005958F4"/>
    <w:rsid w:val="005B08C8"/>
    <w:rsid w:val="005B57E4"/>
    <w:rsid w:val="005B6E85"/>
    <w:rsid w:val="005C1479"/>
    <w:rsid w:val="005D156F"/>
    <w:rsid w:val="005D5447"/>
    <w:rsid w:val="005D6641"/>
    <w:rsid w:val="005D71BF"/>
    <w:rsid w:val="005E0E4F"/>
    <w:rsid w:val="005E1138"/>
    <w:rsid w:val="005E37C2"/>
    <w:rsid w:val="005F1B77"/>
    <w:rsid w:val="005F6338"/>
    <w:rsid w:val="005F74DB"/>
    <w:rsid w:val="00601A80"/>
    <w:rsid w:val="006035F7"/>
    <w:rsid w:val="00604A58"/>
    <w:rsid w:val="00605E73"/>
    <w:rsid w:val="006079AD"/>
    <w:rsid w:val="00612F6E"/>
    <w:rsid w:val="006135CC"/>
    <w:rsid w:val="00613895"/>
    <w:rsid w:val="00617F74"/>
    <w:rsid w:val="00632437"/>
    <w:rsid w:val="00640082"/>
    <w:rsid w:val="006421DC"/>
    <w:rsid w:val="00642D04"/>
    <w:rsid w:val="006500F7"/>
    <w:rsid w:val="0065303D"/>
    <w:rsid w:val="006539C2"/>
    <w:rsid w:val="0066030F"/>
    <w:rsid w:val="006639EA"/>
    <w:rsid w:val="006728DC"/>
    <w:rsid w:val="00675C4A"/>
    <w:rsid w:val="006778E4"/>
    <w:rsid w:val="0068264A"/>
    <w:rsid w:val="0068322E"/>
    <w:rsid w:val="00687D0D"/>
    <w:rsid w:val="00691F12"/>
    <w:rsid w:val="006959AB"/>
    <w:rsid w:val="00695E7E"/>
    <w:rsid w:val="006A71B8"/>
    <w:rsid w:val="006B24FD"/>
    <w:rsid w:val="006C54EE"/>
    <w:rsid w:val="006D1C2B"/>
    <w:rsid w:val="006E2845"/>
    <w:rsid w:val="006E2C34"/>
    <w:rsid w:val="006F0556"/>
    <w:rsid w:val="006F51B8"/>
    <w:rsid w:val="006F7FA1"/>
    <w:rsid w:val="00703A77"/>
    <w:rsid w:val="00724AD1"/>
    <w:rsid w:val="007258A0"/>
    <w:rsid w:val="00733C9A"/>
    <w:rsid w:val="00746ECD"/>
    <w:rsid w:val="00750862"/>
    <w:rsid w:val="00752838"/>
    <w:rsid w:val="00753186"/>
    <w:rsid w:val="00753941"/>
    <w:rsid w:val="0075441F"/>
    <w:rsid w:val="00762561"/>
    <w:rsid w:val="00763900"/>
    <w:rsid w:val="007657D6"/>
    <w:rsid w:val="00772780"/>
    <w:rsid w:val="00776E85"/>
    <w:rsid w:val="00783F90"/>
    <w:rsid w:val="00785335"/>
    <w:rsid w:val="007866E2"/>
    <w:rsid w:val="00794DDE"/>
    <w:rsid w:val="00794F91"/>
    <w:rsid w:val="00795F91"/>
    <w:rsid w:val="007A104E"/>
    <w:rsid w:val="007A2716"/>
    <w:rsid w:val="007A5667"/>
    <w:rsid w:val="007B008D"/>
    <w:rsid w:val="007B0984"/>
    <w:rsid w:val="007B0985"/>
    <w:rsid w:val="007B3664"/>
    <w:rsid w:val="007F3720"/>
    <w:rsid w:val="008065FD"/>
    <w:rsid w:val="00823C6E"/>
    <w:rsid w:val="008427FD"/>
    <w:rsid w:val="0085097C"/>
    <w:rsid w:val="008536C6"/>
    <w:rsid w:val="00856A8B"/>
    <w:rsid w:val="00872CE1"/>
    <w:rsid w:val="00874D6A"/>
    <w:rsid w:val="00876A62"/>
    <w:rsid w:val="008776ED"/>
    <w:rsid w:val="0088166D"/>
    <w:rsid w:val="00882BEA"/>
    <w:rsid w:val="0088385A"/>
    <w:rsid w:val="00885F05"/>
    <w:rsid w:val="00895714"/>
    <w:rsid w:val="008A112B"/>
    <w:rsid w:val="008A1D4A"/>
    <w:rsid w:val="008B1131"/>
    <w:rsid w:val="008B38A1"/>
    <w:rsid w:val="008C5D90"/>
    <w:rsid w:val="008D11E2"/>
    <w:rsid w:val="008D57EE"/>
    <w:rsid w:val="008E565F"/>
    <w:rsid w:val="009127BA"/>
    <w:rsid w:val="009150B5"/>
    <w:rsid w:val="00915869"/>
    <w:rsid w:val="0092044B"/>
    <w:rsid w:val="00930620"/>
    <w:rsid w:val="00935CAA"/>
    <w:rsid w:val="00936742"/>
    <w:rsid w:val="0094261C"/>
    <w:rsid w:val="009527C9"/>
    <w:rsid w:val="0096440F"/>
    <w:rsid w:val="00972E34"/>
    <w:rsid w:val="009839D0"/>
    <w:rsid w:val="00983AC7"/>
    <w:rsid w:val="00983D85"/>
    <w:rsid w:val="00990597"/>
    <w:rsid w:val="00991CB5"/>
    <w:rsid w:val="00994108"/>
    <w:rsid w:val="009A1E16"/>
    <w:rsid w:val="009A4CBE"/>
    <w:rsid w:val="009B0E3B"/>
    <w:rsid w:val="009B1F79"/>
    <w:rsid w:val="009B203C"/>
    <w:rsid w:val="009C728D"/>
    <w:rsid w:val="009E32BE"/>
    <w:rsid w:val="009F6345"/>
    <w:rsid w:val="00A043D4"/>
    <w:rsid w:val="00A1549C"/>
    <w:rsid w:val="00A20026"/>
    <w:rsid w:val="00A20C9D"/>
    <w:rsid w:val="00A2509F"/>
    <w:rsid w:val="00A2778A"/>
    <w:rsid w:val="00A40E9E"/>
    <w:rsid w:val="00A45482"/>
    <w:rsid w:val="00A45751"/>
    <w:rsid w:val="00A665E2"/>
    <w:rsid w:val="00A75AE1"/>
    <w:rsid w:val="00A866B2"/>
    <w:rsid w:val="00A87E64"/>
    <w:rsid w:val="00A92E03"/>
    <w:rsid w:val="00A9600F"/>
    <w:rsid w:val="00AA5E99"/>
    <w:rsid w:val="00AC2CB0"/>
    <w:rsid w:val="00AD047F"/>
    <w:rsid w:val="00AD2D1A"/>
    <w:rsid w:val="00AE04A3"/>
    <w:rsid w:val="00AE0DBF"/>
    <w:rsid w:val="00AF1BDD"/>
    <w:rsid w:val="00AF7AC4"/>
    <w:rsid w:val="00B02A2B"/>
    <w:rsid w:val="00B056E2"/>
    <w:rsid w:val="00B30757"/>
    <w:rsid w:val="00B32FC6"/>
    <w:rsid w:val="00B70526"/>
    <w:rsid w:val="00B801F1"/>
    <w:rsid w:val="00B80BB9"/>
    <w:rsid w:val="00B82CAA"/>
    <w:rsid w:val="00BA3BF8"/>
    <w:rsid w:val="00BC28EA"/>
    <w:rsid w:val="00BC593D"/>
    <w:rsid w:val="00BC771A"/>
    <w:rsid w:val="00BE061F"/>
    <w:rsid w:val="00BE07AC"/>
    <w:rsid w:val="00BE183C"/>
    <w:rsid w:val="00BE1FBA"/>
    <w:rsid w:val="00BF1B2E"/>
    <w:rsid w:val="00BF2D1D"/>
    <w:rsid w:val="00BF3046"/>
    <w:rsid w:val="00BF5673"/>
    <w:rsid w:val="00C02934"/>
    <w:rsid w:val="00C035E7"/>
    <w:rsid w:val="00C26256"/>
    <w:rsid w:val="00C3696D"/>
    <w:rsid w:val="00C450D3"/>
    <w:rsid w:val="00C46731"/>
    <w:rsid w:val="00C6030E"/>
    <w:rsid w:val="00C64254"/>
    <w:rsid w:val="00C72BDC"/>
    <w:rsid w:val="00C740C7"/>
    <w:rsid w:val="00C81BC5"/>
    <w:rsid w:val="00C90E2D"/>
    <w:rsid w:val="00C91214"/>
    <w:rsid w:val="00C92188"/>
    <w:rsid w:val="00CA6CD5"/>
    <w:rsid w:val="00CC1036"/>
    <w:rsid w:val="00CD2C85"/>
    <w:rsid w:val="00CD4B15"/>
    <w:rsid w:val="00CF52E3"/>
    <w:rsid w:val="00CF6E82"/>
    <w:rsid w:val="00D017B0"/>
    <w:rsid w:val="00D03B83"/>
    <w:rsid w:val="00D07612"/>
    <w:rsid w:val="00D15A67"/>
    <w:rsid w:val="00D16DD0"/>
    <w:rsid w:val="00D179F5"/>
    <w:rsid w:val="00D2128A"/>
    <w:rsid w:val="00D27585"/>
    <w:rsid w:val="00D42FB4"/>
    <w:rsid w:val="00D463A5"/>
    <w:rsid w:val="00D5351D"/>
    <w:rsid w:val="00D61BBF"/>
    <w:rsid w:val="00D6216F"/>
    <w:rsid w:val="00D653AC"/>
    <w:rsid w:val="00D8542F"/>
    <w:rsid w:val="00DA0665"/>
    <w:rsid w:val="00DA06F4"/>
    <w:rsid w:val="00DA2E6C"/>
    <w:rsid w:val="00DB117A"/>
    <w:rsid w:val="00DB169D"/>
    <w:rsid w:val="00DB23F3"/>
    <w:rsid w:val="00DB3162"/>
    <w:rsid w:val="00DB5240"/>
    <w:rsid w:val="00DC1155"/>
    <w:rsid w:val="00DD1BB9"/>
    <w:rsid w:val="00DD3DAA"/>
    <w:rsid w:val="00DE2B02"/>
    <w:rsid w:val="00DF2D7C"/>
    <w:rsid w:val="00E02463"/>
    <w:rsid w:val="00E04723"/>
    <w:rsid w:val="00E0798C"/>
    <w:rsid w:val="00E10F26"/>
    <w:rsid w:val="00E11668"/>
    <w:rsid w:val="00E12641"/>
    <w:rsid w:val="00E179DB"/>
    <w:rsid w:val="00E20E9B"/>
    <w:rsid w:val="00E24F76"/>
    <w:rsid w:val="00E251F8"/>
    <w:rsid w:val="00E3031D"/>
    <w:rsid w:val="00E33E36"/>
    <w:rsid w:val="00E34BA2"/>
    <w:rsid w:val="00E57687"/>
    <w:rsid w:val="00E63687"/>
    <w:rsid w:val="00E649A2"/>
    <w:rsid w:val="00E74A00"/>
    <w:rsid w:val="00E75623"/>
    <w:rsid w:val="00E9046E"/>
    <w:rsid w:val="00EA0A51"/>
    <w:rsid w:val="00EA2712"/>
    <w:rsid w:val="00EB47DD"/>
    <w:rsid w:val="00EC0A71"/>
    <w:rsid w:val="00EC210C"/>
    <w:rsid w:val="00ED2E98"/>
    <w:rsid w:val="00ED3418"/>
    <w:rsid w:val="00ED44CA"/>
    <w:rsid w:val="00ED6210"/>
    <w:rsid w:val="00EE03C3"/>
    <w:rsid w:val="00EE27ED"/>
    <w:rsid w:val="00F01174"/>
    <w:rsid w:val="00F01DA6"/>
    <w:rsid w:val="00F03EA0"/>
    <w:rsid w:val="00F32DCF"/>
    <w:rsid w:val="00F33C16"/>
    <w:rsid w:val="00F34989"/>
    <w:rsid w:val="00F35971"/>
    <w:rsid w:val="00F4084B"/>
    <w:rsid w:val="00F442C1"/>
    <w:rsid w:val="00F451A8"/>
    <w:rsid w:val="00F46FCD"/>
    <w:rsid w:val="00F60CA9"/>
    <w:rsid w:val="00F61965"/>
    <w:rsid w:val="00F67DB3"/>
    <w:rsid w:val="00F67E65"/>
    <w:rsid w:val="00F83D71"/>
    <w:rsid w:val="00F9096B"/>
    <w:rsid w:val="00F9271E"/>
    <w:rsid w:val="00F943B0"/>
    <w:rsid w:val="00FA078E"/>
    <w:rsid w:val="00FB51A1"/>
    <w:rsid w:val="00FC0984"/>
    <w:rsid w:val="00FC0A55"/>
    <w:rsid w:val="00FC2FA8"/>
    <w:rsid w:val="00FC3A3B"/>
    <w:rsid w:val="00FC40FA"/>
    <w:rsid w:val="00FD01CF"/>
    <w:rsid w:val="00FD1039"/>
    <w:rsid w:val="00FD40DC"/>
    <w:rsid w:val="00FD4E2D"/>
    <w:rsid w:val="00FD587A"/>
    <w:rsid w:val="00FE1B23"/>
    <w:rsid w:val="00FE39DF"/>
    <w:rsid w:val="1297182C"/>
    <w:rsid w:val="3EBB0897"/>
    <w:rsid w:val="60173C14"/>
    <w:rsid w:val="68974407"/>
    <w:rsid w:val="690340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spacing w:line="576" w:lineRule="auto"/>
      <w:jc w:val="left"/>
      <w:outlineLvl w:val="0"/>
    </w:pPr>
    <w:rPr>
      <w:rFonts w:ascii="Courier New" w:hAnsi="Courier New" w:eastAsia="Courier New" w:cs="Courier New"/>
      <w:b/>
      <w:color w:val="000000"/>
      <w:kern w:val="44"/>
      <w:sz w:val="44"/>
      <w:lang w:eastAsia="en-US" w:bidi="en-US"/>
    </w:rPr>
  </w:style>
  <w:style w:type="paragraph" w:styleId="3">
    <w:name w:val="heading 2"/>
    <w:basedOn w:val="1"/>
    <w:next w:val="4"/>
    <w:link w:val="45"/>
    <w:qFormat/>
    <w:uiPriority w:val="0"/>
    <w:pPr>
      <w:widowControl/>
      <w:tabs>
        <w:tab w:val="left" w:pos="576"/>
      </w:tabs>
      <w:autoSpaceDE w:val="0"/>
      <w:autoSpaceDN w:val="0"/>
      <w:spacing w:after="120"/>
      <w:outlineLvl w:val="1"/>
    </w:pPr>
    <w:rPr>
      <w:rFonts w:ascii="宋体" w:cs="宋体"/>
      <w:color w:val="000000"/>
      <w:kern w:val="0"/>
      <w:sz w:val="24"/>
    </w:rPr>
  </w:style>
  <w:style w:type="paragraph" w:styleId="5">
    <w:name w:val="heading 3"/>
    <w:basedOn w:val="1"/>
    <w:next w:val="4"/>
    <w:link w:val="57"/>
    <w:qFormat/>
    <w:uiPriority w:val="0"/>
    <w:pPr>
      <w:keepNext/>
      <w:keepLines/>
      <w:spacing w:before="260" w:after="260" w:line="413" w:lineRule="auto"/>
      <w:outlineLvl w:val="2"/>
    </w:pPr>
    <w:rPr>
      <w:b/>
      <w:sz w:val="32"/>
      <w:szCs w:val="20"/>
    </w:rPr>
  </w:style>
  <w:style w:type="paragraph" w:styleId="6">
    <w:name w:val="heading 4"/>
    <w:basedOn w:val="1"/>
    <w:next w:val="1"/>
    <w:link w:val="58"/>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59"/>
    <w:qFormat/>
    <w:uiPriority w:val="0"/>
    <w:pPr>
      <w:keepNext/>
      <w:outlineLvl w:val="4"/>
    </w:pPr>
    <w:rPr>
      <w:b/>
      <w:bCs/>
      <w:sz w:val="24"/>
    </w:rPr>
  </w:style>
  <w:style w:type="character" w:default="1" w:styleId="37">
    <w:name w:val="Default Paragraph Font"/>
    <w:semiHidden/>
    <w:unhideWhenUsed/>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djustRightInd w:val="0"/>
      <w:spacing w:line="360" w:lineRule="atLeast"/>
      <w:ind w:firstLine="420"/>
      <w:jc w:val="left"/>
      <w:textAlignment w:val="baseline"/>
    </w:pPr>
    <w:rPr>
      <w:kern w:val="0"/>
      <w:sz w:val="24"/>
      <w:szCs w:val="20"/>
    </w:rPr>
  </w:style>
  <w:style w:type="paragraph" w:styleId="8">
    <w:name w:val="toc 7"/>
    <w:basedOn w:val="1"/>
    <w:next w:val="1"/>
    <w:qFormat/>
    <w:uiPriority w:val="0"/>
    <w:pPr>
      <w:ind w:left="2520" w:leftChars="1200"/>
    </w:pPr>
    <w:rPr>
      <w:sz w:val="24"/>
      <w:szCs w:val="20"/>
    </w:rPr>
  </w:style>
  <w:style w:type="paragraph" w:styleId="9">
    <w:name w:val="caption"/>
    <w:basedOn w:val="1"/>
    <w:next w:val="1"/>
    <w:qFormat/>
    <w:uiPriority w:val="0"/>
    <w:pPr>
      <w:spacing w:before="152" w:after="160"/>
    </w:pPr>
    <w:rPr>
      <w:rFonts w:ascii="Arial" w:hAnsi="Arial" w:eastAsia="黑体" w:cs="Arial"/>
      <w:sz w:val="20"/>
      <w:szCs w:val="20"/>
    </w:rPr>
  </w:style>
  <w:style w:type="paragraph" w:styleId="10">
    <w:name w:val="Document Map"/>
    <w:basedOn w:val="1"/>
    <w:link w:val="60"/>
    <w:qFormat/>
    <w:uiPriority w:val="0"/>
    <w:pPr>
      <w:shd w:val="clear" w:color="auto" w:fill="000080"/>
    </w:pPr>
    <w:rPr>
      <w:sz w:val="24"/>
      <w:szCs w:val="20"/>
    </w:rPr>
  </w:style>
  <w:style w:type="paragraph" w:styleId="11">
    <w:name w:val="annotation text"/>
    <w:basedOn w:val="1"/>
    <w:link w:val="53"/>
    <w:qFormat/>
    <w:uiPriority w:val="0"/>
    <w:pPr>
      <w:jc w:val="left"/>
    </w:pPr>
    <w:rPr>
      <w:rFonts w:ascii="宋体" w:eastAsia="方正报宋简体"/>
      <w:sz w:val="24"/>
      <w:szCs w:val="20"/>
    </w:rPr>
  </w:style>
  <w:style w:type="paragraph" w:styleId="12">
    <w:name w:val="Body Text 3"/>
    <w:basedOn w:val="1"/>
    <w:link w:val="61"/>
    <w:qFormat/>
    <w:uiPriority w:val="0"/>
    <w:pPr>
      <w:spacing w:after="120"/>
    </w:pPr>
    <w:rPr>
      <w:sz w:val="16"/>
      <w:szCs w:val="16"/>
    </w:rPr>
  </w:style>
  <w:style w:type="paragraph" w:styleId="13">
    <w:name w:val="Body Text"/>
    <w:basedOn w:val="1"/>
    <w:link w:val="43"/>
    <w:unhideWhenUsed/>
    <w:qFormat/>
    <w:uiPriority w:val="0"/>
    <w:pPr>
      <w:spacing w:after="120"/>
    </w:pPr>
    <w:rPr>
      <w:szCs w:val="20"/>
    </w:rPr>
  </w:style>
  <w:style w:type="paragraph" w:styleId="14">
    <w:name w:val="Body Text Indent"/>
    <w:basedOn w:val="1"/>
    <w:link w:val="50"/>
    <w:unhideWhenUsed/>
    <w:qFormat/>
    <w:uiPriority w:val="0"/>
    <w:pPr>
      <w:spacing w:after="120"/>
      <w:ind w:left="420" w:leftChars="200"/>
    </w:pPr>
  </w:style>
  <w:style w:type="paragraph" w:styleId="15">
    <w:name w:val="List 2"/>
    <w:basedOn w:val="1"/>
    <w:qFormat/>
    <w:uiPriority w:val="0"/>
    <w:pPr>
      <w:adjustRightInd w:val="0"/>
      <w:spacing w:line="360" w:lineRule="auto"/>
      <w:ind w:left="100" w:leftChars="200" w:hanging="200" w:hangingChars="200"/>
      <w:textAlignment w:val="baseline"/>
    </w:pPr>
    <w:rPr>
      <w:kern w:val="0"/>
      <w:sz w:val="24"/>
    </w:rPr>
  </w:style>
  <w:style w:type="paragraph" w:styleId="16">
    <w:name w:val="toc 5"/>
    <w:basedOn w:val="1"/>
    <w:next w:val="1"/>
    <w:qFormat/>
    <w:uiPriority w:val="0"/>
    <w:pPr>
      <w:ind w:left="1680" w:leftChars="800"/>
    </w:pPr>
    <w:rPr>
      <w:sz w:val="24"/>
      <w:szCs w:val="20"/>
    </w:rPr>
  </w:style>
  <w:style w:type="paragraph" w:styleId="17">
    <w:name w:val="toc 3"/>
    <w:basedOn w:val="1"/>
    <w:next w:val="1"/>
    <w:qFormat/>
    <w:uiPriority w:val="0"/>
    <w:pPr>
      <w:ind w:left="840" w:leftChars="400"/>
    </w:pPr>
    <w:rPr>
      <w:sz w:val="24"/>
      <w:szCs w:val="20"/>
    </w:rPr>
  </w:style>
  <w:style w:type="paragraph" w:styleId="18">
    <w:name w:val="Plain Text"/>
    <w:basedOn w:val="1"/>
    <w:link w:val="62"/>
    <w:uiPriority w:val="0"/>
    <w:rPr>
      <w:rFonts w:ascii="宋体" w:hAnsi="Courier New"/>
      <w:szCs w:val="20"/>
    </w:rPr>
  </w:style>
  <w:style w:type="paragraph" w:styleId="19">
    <w:name w:val="toc 8"/>
    <w:basedOn w:val="1"/>
    <w:next w:val="1"/>
    <w:qFormat/>
    <w:uiPriority w:val="0"/>
    <w:pPr>
      <w:ind w:left="2940" w:leftChars="1400"/>
    </w:pPr>
    <w:rPr>
      <w:sz w:val="24"/>
      <w:szCs w:val="20"/>
    </w:rPr>
  </w:style>
  <w:style w:type="paragraph" w:styleId="20">
    <w:name w:val="Date"/>
    <w:basedOn w:val="1"/>
    <w:next w:val="1"/>
    <w:link w:val="63"/>
    <w:qFormat/>
    <w:uiPriority w:val="0"/>
    <w:rPr>
      <w:rFonts w:ascii="宋体"/>
      <w:sz w:val="24"/>
      <w:szCs w:val="20"/>
    </w:rPr>
  </w:style>
  <w:style w:type="paragraph" w:styleId="21">
    <w:name w:val="Body Text Indent 2"/>
    <w:basedOn w:val="1"/>
    <w:link w:val="64"/>
    <w:qFormat/>
    <w:uiPriority w:val="0"/>
    <w:pPr>
      <w:autoSpaceDE w:val="0"/>
      <w:autoSpaceDN w:val="0"/>
      <w:adjustRightInd w:val="0"/>
      <w:spacing w:line="360" w:lineRule="auto"/>
      <w:ind w:firstLine="629"/>
      <w:jc w:val="left"/>
    </w:pPr>
    <w:rPr>
      <w:rFonts w:ascii="宋体"/>
      <w:color w:val="000000"/>
      <w:kern w:val="0"/>
      <w:sz w:val="24"/>
    </w:rPr>
  </w:style>
  <w:style w:type="paragraph" w:styleId="22">
    <w:name w:val="Balloon Text"/>
    <w:basedOn w:val="1"/>
    <w:link w:val="65"/>
    <w:qFormat/>
    <w:uiPriority w:val="0"/>
    <w:rPr>
      <w:sz w:val="18"/>
      <w:szCs w:val="18"/>
    </w:rPr>
  </w:style>
  <w:style w:type="paragraph" w:styleId="23">
    <w:name w:val="footer"/>
    <w:link w:val="46"/>
    <w:unhideWhenUsed/>
    <w:qFormat/>
    <w:uiPriority w:val="0"/>
    <w:pPr>
      <w:widowControl w:val="0"/>
      <w:tabs>
        <w:tab w:val="center" w:pos="4153"/>
        <w:tab w:val="right" w:pos="8306"/>
      </w:tabs>
      <w:snapToGrid w:val="0"/>
    </w:pPr>
    <w:rPr>
      <w:rFonts w:ascii="Times New Roman" w:hAnsi="Times New Roman" w:eastAsia="宋体" w:cs="Times New Roman"/>
      <w:sz w:val="18"/>
      <w:szCs w:val="18"/>
      <w:lang w:val="en-US" w:eastAsia="zh-CN" w:bidi="ar-SA"/>
    </w:rPr>
  </w:style>
  <w:style w:type="paragraph" w:styleId="24">
    <w:name w:val="header"/>
    <w:basedOn w:val="1"/>
    <w:link w:val="47"/>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styleId="26">
    <w:name w:val="toc 4"/>
    <w:basedOn w:val="1"/>
    <w:next w:val="1"/>
    <w:qFormat/>
    <w:uiPriority w:val="0"/>
    <w:pPr>
      <w:ind w:left="1260" w:leftChars="600"/>
    </w:pPr>
    <w:rPr>
      <w:sz w:val="24"/>
      <w:szCs w:val="20"/>
    </w:rPr>
  </w:style>
  <w:style w:type="paragraph" w:styleId="27">
    <w:name w:val="toc 6"/>
    <w:basedOn w:val="1"/>
    <w:next w:val="1"/>
    <w:qFormat/>
    <w:uiPriority w:val="0"/>
    <w:pPr>
      <w:ind w:left="2100" w:leftChars="1000"/>
    </w:pPr>
    <w:rPr>
      <w:sz w:val="24"/>
      <w:szCs w:val="20"/>
    </w:rPr>
  </w:style>
  <w:style w:type="paragraph" w:styleId="28">
    <w:name w:val="Body Text Indent 3"/>
    <w:basedOn w:val="1"/>
    <w:link w:val="66"/>
    <w:qFormat/>
    <w:uiPriority w:val="0"/>
    <w:pPr>
      <w:ind w:firstLine="425"/>
    </w:pPr>
    <w:rPr>
      <w:rFonts w:ascii="宋体" w:hAnsi="Plotter"/>
      <w:w w:val="90"/>
      <w:sz w:val="24"/>
      <w:szCs w:val="20"/>
    </w:rPr>
  </w:style>
  <w:style w:type="paragraph" w:styleId="29">
    <w:name w:val="table of figures"/>
    <w:basedOn w:val="1"/>
    <w:next w:val="1"/>
    <w:qFormat/>
    <w:uiPriority w:val="0"/>
    <w:pPr>
      <w:ind w:left="840" w:leftChars="200" w:hanging="420" w:hangingChars="200"/>
    </w:pPr>
  </w:style>
  <w:style w:type="paragraph" w:styleId="30">
    <w:name w:val="toc 2"/>
    <w:basedOn w:val="1"/>
    <w:next w:val="1"/>
    <w:qFormat/>
    <w:uiPriority w:val="0"/>
    <w:pPr>
      <w:ind w:left="420" w:leftChars="200"/>
    </w:pPr>
    <w:rPr>
      <w:sz w:val="24"/>
      <w:szCs w:val="20"/>
    </w:rPr>
  </w:style>
  <w:style w:type="paragraph" w:styleId="31">
    <w:name w:val="toc 9"/>
    <w:basedOn w:val="1"/>
    <w:next w:val="1"/>
    <w:qFormat/>
    <w:uiPriority w:val="0"/>
    <w:pPr>
      <w:ind w:left="3360" w:leftChars="1600"/>
    </w:pPr>
    <w:rPr>
      <w:sz w:val="24"/>
      <w:szCs w:val="20"/>
    </w:rPr>
  </w:style>
  <w:style w:type="paragraph" w:styleId="32">
    <w:name w:val="Body Text 2"/>
    <w:basedOn w:val="1"/>
    <w:link w:val="52"/>
    <w:unhideWhenUsed/>
    <w:qFormat/>
    <w:uiPriority w:val="99"/>
    <w:pPr>
      <w:spacing w:after="120" w:line="480" w:lineRule="auto"/>
    </w:pPr>
  </w:style>
  <w:style w:type="paragraph" w:styleId="33">
    <w:name w:val="Normal (Web)"/>
    <w:basedOn w:val="1"/>
    <w:unhideWhenUsed/>
    <w:qFormat/>
    <w:uiPriority w:val="99"/>
    <w:pPr>
      <w:jc w:val="left"/>
    </w:pPr>
    <w:rPr>
      <w:rFonts w:ascii="微软雅黑" w:hAnsi="微软雅黑" w:eastAsia="微软雅黑"/>
      <w:kern w:val="0"/>
      <w:sz w:val="24"/>
    </w:rPr>
  </w:style>
  <w:style w:type="paragraph" w:styleId="34">
    <w:name w:val="annotation subject"/>
    <w:basedOn w:val="11"/>
    <w:next w:val="11"/>
    <w:link w:val="67"/>
    <w:uiPriority w:val="0"/>
    <w:rPr>
      <w:rFonts w:ascii="Times New Roman" w:eastAsia="宋体"/>
    </w:rPr>
  </w:style>
  <w:style w:type="paragraph" w:styleId="35">
    <w:name w:val="Body Text First Indent 2"/>
    <w:basedOn w:val="14"/>
    <w:link w:val="51"/>
    <w:unhideWhenUsed/>
    <w:qFormat/>
    <w:uiPriority w:val="0"/>
    <w:pPr>
      <w:adjustRightInd w:val="0"/>
      <w:spacing w:line="360" w:lineRule="atLeast"/>
      <w:ind w:firstLine="420" w:firstLineChars="200"/>
      <w:jc w:val="left"/>
      <w:textAlignment w:val="baseline"/>
    </w:pPr>
    <w:rPr>
      <w:kern w:val="0"/>
      <w:sz w:val="24"/>
      <w:szCs w:val="20"/>
    </w:rPr>
  </w:style>
  <w:style w:type="character" w:styleId="38">
    <w:name w:val="Strong"/>
    <w:qFormat/>
    <w:uiPriority w:val="0"/>
    <w:rPr>
      <w:b/>
    </w:rPr>
  </w:style>
  <w:style w:type="character" w:styleId="39">
    <w:name w:val="page number"/>
    <w:unhideWhenUsed/>
    <w:qFormat/>
    <w:uiPriority w:val="0"/>
  </w:style>
  <w:style w:type="character" w:styleId="40">
    <w:name w:val="FollowedHyperlink"/>
    <w:uiPriority w:val="0"/>
    <w:rPr>
      <w:color w:val="800080"/>
      <w:u w:val="single"/>
    </w:rPr>
  </w:style>
  <w:style w:type="character" w:styleId="41">
    <w:name w:val="Hyperlink"/>
    <w:basedOn w:val="37"/>
    <w:unhideWhenUsed/>
    <w:qFormat/>
    <w:uiPriority w:val="99"/>
    <w:rPr>
      <w:color w:val="296FBE"/>
      <w:u w:val="none"/>
    </w:rPr>
  </w:style>
  <w:style w:type="character" w:styleId="42">
    <w:name w:val="annotation reference"/>
    <w:qFormat/>
    <w:uiPriority w:val="0"/>
    <w:rPr>
      <w:sz w:val="21"/>
      <w:szCs w:val="21"/>
    </w:rPr>
  </w:style>
  <w:style w:type="character" w:customStyle="1" w:styleId="43">
    <w:name w:val="正文文本 Char"/>
    <w:basedOn w:val="37"/>
    <w:link w:val="13"/>
    <w:qFormat/>
    <w:uiPriority w:val="99"/>
    <w:rPr>
      <w:rFonts w:ascii="Times New Roman" w:hAnsi="Times New Roman" w:eastAsia="宋体" w:cs="Times New Roman"/>
      <w:szCs w:val="20"/>
    </w:rPr>
  </w:style>
  <w:style w:type="character" w:customStyle="1" w:styleId="44">
    <w:name w:val="标题 1 Char"/>
    <w:basedOn w:val="37"/>
    <w:link w:val="2"/>
    <w:qFormat/>
    <w:uiPriority w:val="99"/>
    <w:rPr>
      <w:rFonts w:ascii="Courier New" w:hAnsi="Courier New" w:eastAsia="Courier New" w:cs="Courier New"/>
      <w:b/>
      <w:color w:val="000000"/>
      <w:kern w:val="44"/>
      <w:sz w:val="44"/>
      <w:szCs w:val="24"/>
      <w:lang w:eastAsia="en-US" w:bidi="en-US"/>
    </w:rPr>
  </w:style>
  <w:style w:type="character" w:customStyle="1" w:styleId="45">
    <w:name w:val="标题 2 Char"/>
    <w:basedOn w:val="37"/>
    <w:link w:val="3"/>
    <w:qFormat/>
    <w:uiPriority w:val="99"/>
    <w:rPr>
      <w:rFonts w:ascii="宋体" w:hAnsi="Times New Roman" w:eastAsia="宋体" w:cs="宋体"/>
      <w:color w:val="000000"/>
      <w:sz w:val="24"/>
      <w:szCs w:val="24"/>
    </w:rPr>
  </w:style>
  <w:style w:type="character" w:customStyle="1" w:styleId="46">
    <w:name w:val="页脚 Char"/>
    <w:basedOn w:val="37"/>
    <w:link w:val="23"/>
    <w:qFormat/>
    <w:uiPriority w:val="0"/>
    <w:rPr>
      <w:rFonts w:ascii="Times New Roman" w:hAnsi="Times New Roman" w:eastAsia="宋体" w:cs="Times New Roman"/>
      <w:kern w:val="0"/>
      <w:sz w:val="18"/>
      <w:szCs w:val="18"/>
    </w:rPr>
  </w:style>
  <w:style w:type="character" w:customStyle="1" w:styleId="47">
    <w:name w:val="页眉 Char"/>
    <w:basedOn w:val="37"/>
    <w:link w:val="24"/>
    <w:qFormat/>
    <w:uiPriority w:val="0"/>
    <w:rPr>
      <w:rFonts w:ascii="Times New Roman" w:hAnsi="Times New Roman" w:eastAsia="宋体" w:cs="Times New Roman"/>
      <w:sz w:val="18"/>
      <w:szCs w:val="18"/>
    </w:rPr>
  </w:style>
  <w:style w:type="paragraph" w:styleId="48">
    <w:name w:val="List Paragraph"/>
    <w:basedOn w:val="1"/>
    <w:qFormat/>
    <w:uiPriority w:val="1"/>
    <w:pPr>
      <w:ind w:firstLine="420" w:firstLineChars="200"/>
    </w:pPr>
  </w:style>
  <w:style w:type="paragraph" w:customStyle="1" w:styleId="4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50">
    <w:name w:val="正文文本缩进 Char"/>
    <w:basedOn w:val="37"/>
    <w:link w:val="14"/>
    <w:qFormat/>
    <w:uiPriority w:val="0"/>
    <w:rPr>
      <w:rFonts w:ascii="Times New Roman" w:hAnsi="Times New Roman" w:eastAsia="宋体" w:cs="Times New Roman"/>
      <w:kern w:val="2"/>
      <w:sz w:val="21"/>
      <w:szCs w:val="24"/>
    </w:rPr>
  </w:style>
  <w:style w:type="character" w:customStyle="1" w:styleId="51">
    <w:name w:val="正文首行缩进 2 Char"/>
    <w:basedOn w:val="50"/>
    <w:link w:val="35"/>
    <w:qFormat/>
    <w:uiPriority w:val="0"/>
    <w:rPr>
      <w:sz w:val="24"/>
    </w:rPr>
  </w:style>
  <w:style w:type="character" w:customStyle="1" w:styleId="52">
    <w:name w:val="正文文本 2 Char"/>
    <w:basedOn w:val="37"/>
    <w:link w:val="32"/>
    <w:qFormat/>
    <w:uiPriority w:val="99"/>
    <w:rPr>
      <w:rFonts w:ascii="Times New Roman" w:hAnsi="Times New Roman" w:eastAsia="宋体" w:cs="Times New Roman"/>
      <w:kern w:val="2"/>
      <w:sz w:val="21"/>
      <w:szCs w:val="24"/>
    </w:rPr>
  </w:style>
  <w:style w:type="character" w:customStyle="1" w:styleId="53">
    <w:name w:val="批注文字 Char"/>
    <w:basedOn w:val="37"/>
    <w:link w:val="11"/>
    <w:qFormat/>
    <w:uiPriority w:val="0"/>
    <w:rPr>
      <w:rFonts w:ascii="宋体" w:hAnsi="Times New Roman" w:eastAsia="方正报宋简体" w:cs="Times New Roman"/>
      <w:kern w:val="2"/>
      <w:sz w:val="24"/>
    </w:rPr>
  </w:style>
  <w:style w:type="paragraph" w:customStyle="1" w:styleId="5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55">
    <w:name w:val="正文文本_"/>
    <w:basedOn w:val="37"/>
    <w:link w:val="56"/>
    <w:qFormat/>
    <w:uiPriority w:val="0"/>
    <w:rPr>
      <w:rFonts w:ascii="宋体" w:hAnsi="宋体" w:eastAsia="宋体" w:cs="宋体"/>
      <w:lang w:val="zh-CN" w:bidi="zh-CN"/>
    </w:rPr>
  </w:style>
  <w:style w:type="paragraph" w:customStyle="1" w:styleId="56">
    <w:name w:val="正文文本1"/>
    <w:basedOn w:val="1"/>
    <w:link w:val="55"/>
    <w:qFormat/>
    <w:uiPriority w:val="0"/>
    <w:pPr>
      <w:spacing w:line="420" w:lineRule="auto"/>
      <w:ind w:firstLine="400"/>
      <w:jc w:val="left"/>
    </w:pPr>
    <w:rPr>
      <w:rFonts w:ascii="宋体" w:hAnsi="宋体" w:cs="宋体"/>
      <w:kern w:val="0"/>
      <w:sz w:val="20"/>
      <w:szCs w:val="20"/>
      <w:lang w:val="zh-CN" w:bidi="zh-CN"/>
    </w:rPr>
  </w:style>
  <w:style w:type="character" w:customStyle="1" w:styleId="57">
    <w:name w:val="标题 3 Char"/>
    <w:basedOn w:val="37"/>
    <w:link w:val="5"/>
    <w:qFormat/>
    <w:uiPriority w:val="0"/>
    <w:rPr>
      <w:rFonts w:ascii="Times New Roman" w:hAnsi="Times New Roman" w:eastAsia="宋体" w:cs="Times New Roman"/>
      <w:b/>
      <w:kern w:val="2"/>
      <w:sz w:val="32"/>
    </w:rPr>
  </w:style>
  <w:style w:type="character" w:customStyle="1" w:styleId="58">
    <w:name w:val="标题 4 Char"/>
    <w:basedOn w:val="37"/>
    <w:link w:val="6"/>
    <w:qFormat/>
    <w:uiPriority w:val="0"/>
    <w:rPr>
      <w:rFonts w:ascii="Arial" w:hAnsi="Arial" w:eastAsia="黑体" w:cs="Times New Roman"/>
      <w:b/>
      <w:bCs/>
      <w:kern w:val="2"/>
      <w:sz w:val="28"/>
      <w:szCs w:val="28"/>
    </w:rPr>
  </w:style>
  <w:style w:type="character" w:customStyle="1" w:styleId="59">
    <w:name w:val="标题 5 Char"/>
    <w:basedOn w:val="37"/>
    <w:link w:val="7"/>
    <w:qFormat/>
    <w:uiPriority w:val="0"/>
    <w:rPr>
      <w:rFonts w:ascii="Times New Roman" w:hAnsi="Times New Roman" w:eastAsia="宋体" w:cs="Times New Roman"/>
      <w:b/>
      <w:bCs/>
      <w:kern w:val="2"/>
      <w:sz w:val="24"/>
      <w:szCs w:val="24"/>
    </w:rPr>
  </w:style>
  <w:style w:type="character" w:customStyle="1" w:styleId="60">
    <w:name w:val="文档结构图 Char"/>
    <w:basedOn w:val="37"/>
    <w:link w:val="10"/>
    <w:qFormat/>
    <w:uiPriority w:val="0"/>
    <w:rPr>
      <w:rFonts w:ascii="Times New Roman" w:hAnsi="Times New Roman" w:eastAsia="宋体" w:cs="Times New Roman"/>
      <w:kern w:val="2"/>
      <w:sz w:val="24"/>
      <w:shd w:val="clear" w:color="auto" w:fill="000080"/>
    </w:rPr>
  </w:style>
  <w:style w:type="character" w:customStyle="1" w:styleId="61">
    <w:name w:val="正文文本 3 Char"/>
    <w:basedOn w:val="37"/>
    <w:link w:val="12"/>
    <w:qFormat/>
    <w:uiPriority w:val="0"/>
    <w:rPr>
      <w:rFonts w:ascii="Times New Roman" w:hAnsi="Times New Roman" w:eastAsia="宋体" w:cs="Times New Roman"/>
      <w:kern w:val="2"/>
      <w:sz w:val="16"/>
      <w:szCs w:val="16"/>
    </w:rPr>
  </w:style>
  <w:style w:type="character" w:customStyle="1" w:styleId="62">
    <w:name w:val="纯文本 Char"/>
    <w:basedOn w:val="37"/>
    <w:link w:val="18"/>
    <w:qFormat/>
    <w:uiPriority w:val="0"/>
    <w:rPr>
      <w:rFonts w:ascii="宋体" w:hAnsi="Courier New" w:eastAsia="宋体" w:cs="Times New Roman"/>
      <w:kern w:val="2"/>
      <w:sz w:val="21"/>
    </w:rPr>
  </w:style>
  <w:style w:type="character" w:customStyle="1" w:styleId="63">
    <w:name w:val="日期 Char"/>
    <w:basedOn w:val="37"/>
    <w:link w:val="20"/>
    <w:qFormat/>
    <w:uiPriority w:val="0"/>
    <w:rPr>
      <w:rFonts w:ascii="宋体" w:hAnsi="Times New Roman" w:eastAsia="宋体" w:cs="Times New Roman"/>
      <w:kern w:val="2"/>
      <w:sz w:val="24"/>
    </w:rPr>
  </w:style>
  <w:style w:type="character" w:customStyle="1" w:styleId="64">
    <w:name w:val="正文文本缩进 2 Char"/>
    <w:basedOn w:val="37"/>
    <w:link w:val="21"/>
    <w:qFormat/>
    <w:uiPriority w:val="0"/>
    <w:rPr>
      <w:rFonts w:ascii="宋体" w:hAnsi="Times New Roman" w:eastAsia="宋体" w:cs="Times New Roman"/>
      <w:color w:val="000000"/>
      <w:sz w:val="24"/>
      <w:szCs w:val="24"/>
    </w:rPr>
  </w:style>
  <w:style w:type="character" w:customStyle="1" w:styleId="65">
    <w:name w:val="批注框文本 Char"/>
    <w:basedOn w:val="37"/>
    <w:link w:val="22"/>
    <w:qFormat/>
    <w:uiPriority w:val="0"/>
    <w:rPr>
      <w:rFonts w:ascii="Times New Roman" w:hAnsi="Times New Roman" w:eastAsia="宋体" w:cs="Times New Roman"/>
      <w:kern w:val="2"/>
      <w:sz w:val="18"/>
      <w:szCs w:val="18"/>
    </w:rPr>
  </w:style>
  <w:style w:type="character" w:customStyle="1" w:styleId="66">
    <w:name w:val="正文文本缩进 3 Char"/>
    <w:basedOn w:val="37"/>
    <w:link w:val="28"/>
    <w:uiPriority w:val="0"/>
    <w:rPr>
      <w:rFonts w:ascii="宋体" w:hAnsi="Plotter" w:eastAsia="宋体" w:cs="Times New Roman"/>
      <w:w w:val="90"/>
      <w:kern w:val="2"/>
      <w:sz w:val="24"/>
    </w:rPr>
  </w:style>
  <w:style w:type="character" w:customStyle="1" w:styleId="67">
    <w:name w:val="批注主题 Char"/>
    <w:basedOn w:val="53"/>
    <w:link w:val="34"/>
    <w:qFormat/>
    <w:uiPriority w:val="0"/>
    <w:rPr>
      <w:rFonts w:ascii="Times New Roman" w:eastAsia="宋体"/>
    </w:rPr>
  </w:style>
  <w:style w:type="character" w:customStyle="1" w:styleId="68">
    <w:name w:val="xl28 Char Char"/>
    <w:link w:val="69"/>
    <w:qFormat/>
    <w:uiPriority w:val="0"/>
    <w:rPr>
      <w:rFonts w:ascii="Arial Unicode MS" w:hAnsi="Arial Unicode MS"/>
      <w:sz w:val="18"/>
      <w:szCs w:val="18"/>
    </w:rPr>
  </w:style>
  <w:style w:type="paragraph" w:customStyle="1" w:styleId="69">
    <w:name w:val="xl28"/>
    <w:basedOn w:val="1"/>
    <w:link w:val="68"/>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left"/>
    </w:pPr>
    <w:rPr>
      <w:rFonts w:ascii="Arial Unicode MS" w:hAnsi="Arial Unicode MS" w:eastAsiaTheme="minorEastAsia" w:cstheme="minorBidi"/>
      <w:kern w:val="0"/>
      <w:sz w:val="18"/>
      <w:szCs w:val="18"/>
    </w:rPr>
  </w:style>
  <w:style w:type="paragraph" w:customStyle="1" w:styleId="70">
    <w:name w:val="正文1"/>
    <w:qFormat/>
    <w:uiPriority w:val="0"/>
    <w:pPr>
      <w:widowControl w:val="0"/>
      <w:adjustRightInd w:val="0"/>
      <w:spacing w:line="360" w:lineRule="atLeast"/>
      <w:ind w:firstLine="454"/>
      <w:textAlignment w:val="baseline"/>
    </w:pPr>
    <w:rPr>
      <w:rFonts w:ascii="宋体" w:hAnsi="Times New Roman" w:eastAsia="宋体" w:cs="Times New Roman"/>
      <w:sz w:val="24"/>
      <w:lang w:val="en-US" w:eastAsia="zh-CN" w:bidi="ar-SA"/>
    </w:rPr>
  </w:style>
  <w:style w:type="paragraph" w:customStyle="1" w:styleId="71">
    <w:name w:val="标题2"/>
    <w:basedOn w:val="1"/>
    <w:qFormat/>
    <w:uiPriority w:val="0"/>
    <w:pPr>
      <w:autoSpaceDE w:val="0"/>
      <w:autoSpaceDN w:val="0"/>
    </w:pPr>
    <w:rPr>
      <w:rFonts w:ascii="黑体" w:eastAsia="黑体" w:cs="黑体"/>
      <w:b/>
      <w:bCs/>
      <w:color w:val="000000"/>
      <w:sz w:val="24"/>
    </w:rPr>
  </w:style>
  <w:style w:type="paragraph" w:customStyle="1" w:styleId="72">
    <w:name w:val="默认段落字体 Para Char Char Char Char Char Char Char Char Char Char Char Char Char Char Char"/>
    <w:basedOn w:val="10"/>
    <w:qFormat/>
    <w:uiPriority w:val="0"/>
    <w:rPr>
      <w:rFonts w:ascii="Tahoma" w:hAnsi="Tahoma"/>
      <w:szCs w:val="24"/>
    </w:rPr>
  </w:style>
  <w:style w:type="paragraph" w:customStyle="1" w:styleId="73">
    <w:name w:val="TOC Heading"/>
    <w:basedOn w:val="2"/>
    <w:next w:val="1"/>
    <w:qFormat/>
    <w:uiPriority w:val="0"/>
    <w:pPr>
      <w:widowControl/>
      <w:spacing w:before="480" w:line="276" w:lineRule="auto"/>
      <w:outlineLvl w:val="9"/>
    </w:pPr>
    <w:rPr>
      <w:rFonts w:ascii="Cambria" w:hAnsi="Cambria" w:eastAsia="宋体" w:cs="Times New Roman"/>
      <w:bCs/>
      <w:color w:val="365F91"/>
      <w:kern w:val="0"/>
      <w:sz w:val="28"/>
      <w:szCs w:val="28"/>
      <w:lang w:eastAsia="zh-CN" w:bidi="ar-SA"/>
    </w:rPr>
  </w:style>
  <w:style w:type="paragraph" w:customStyle="1" w:styleId="74">
    <w:name w:val="Reply/Forward Headers"/>
    <w:basedOn w:val="1"/>
    <w:next w:val="75"/>
    <w:qFormat/>
    <w:uiPriority w:val="0"/>
    <w:pPr>
      <w:pBdr>
        <w:left w:val="single" w:color="auto" w:sz="18" w:space="1"/>
      </w:pBdr>
      <w:shd w:val="pct10" w:color="auto" w:fill="auto"/>
      <w:autoSpaceDE w:val="0"/>
      <w:autoSpaceDN w:val="0"/>
      <w:adjustRightInd w:val="0"/>
      <w:jc w:val="left"/>
      <w:textAlignment w:val="baseline"/>
    </w:pPr>
    <w:rPr>
      <w:rFonts w:ascii="Arial" w:hAnsi="Arial"/>
      <w:b/>
      <w:kern w:val="0"/>
      <w:sz w:val="20"/>
      <w:szCs w:val="20"/>
    </w:rPr>
  </w:style>
  <w:style w:type="paragraph" w:customStyle="1" w:styleId="75">
    <w:name w:val="Reply/Forward To: From: Date:"/>
    <w:basedOn w:val="1"/>
    <w:qFormat/>
    <w:uiPriority w:val="0"/>
    <w:pPr>
      <w:pBdr>
        <w:left w:val="single" w:color="auto" w:sz="18" w:space="1"/>
      </w:pBdr>
      <w:autoSpaceDE w:val="0"/>
      <w:autoSpaceDN w:val="0"/>
      <w:adjustRightInd w:val="0"/>
      <w:jc w:val="left"/>
      <w:textAlignment w:val="baseline"/>
    </w:pPr>
    <w:rPr>
      <w:rFonts w:ascii="Arial" w:hAnsi="Arial"/>
      <w:kern w:val="0"/>
      <w:sz w:val="20"/>
      <w:szCs w:val="20"/>
    </w:rPr>
  </w:style>
  <w:style w:type="paragraph" w:customStyle="1" w:styleId="76">
    <w:name w:val="Print- Reverse Header"/>
    <w:basedOn w:val="1"/>
    <w:next w:val="77"/>
    <w:uiPriority w:val="0"/>
    <w:pPr>
      <w:pBdr>
        <w:left w:val="single" w:color="auto" w:sz="18" w:space="1"/>
      </w:pBdr>
      <w:autoSpaceDE w:val="0"/>
      <w:autoSpaceDN w:val="0"/>
      <w:adjustRightInd w:val="0"/>
      <w:jc w:val="left"/>
      <w:textAlignment w:val="baseline"/>
    </w:pPr>
    <w:rPr>
      <w:rFonts w:ascii="Arial" w:hAnsi="Arial"/>
      <w:b/>
      <w:kern w:val="0"/>
      <w:sz w:val="22"/>
      <w:szCs w:val="20"/>
    </w:rPr>
  </w:style>
  <w:style w:type="paragraph" w:customStyle="1" w:styleId="77">
    <w:name w:val="Print- From: To: Subject: Date:"/>
    <w:basedOn w:val="1"/>
    <w:qFormat/>
    <w:uiPriority w:val="0"/>
    <w:pPr>
      <w:pBdr>
        <w:left w:val="single" w:color="auto" w:sz="18" w:space="1"/>
      </w:pBdr>
      <w:autoSpaceDE w:val="0"/>
      <w:autoSpaceDN w:val="0"/>
      <w:adjustRightInd w:val="0"/>
      <w:jc w:val="left"/>
      <w:textAlignment w:val="baseline"/>
    </w:pPr>
    <w:rPr>
      <w:rFonts w:ascii="Arial" w:hAnsi="Arial"/>
      <w:kern w:val="0"/>
      <w:sz w:val="20"/>
      <w:szCs w:val="20"/>
    </w:rPr>
  </w:style>
  <w:style w:type="paragraph" w:customStyle="1" w:styleId="78">
    <w:name w:val="正文缩进1"/>
    <w:basedOn w:val="1"/>
    <w:qFormat/>
    <w:uiPriority w:val="0"/>
    <w:pPr>
      <w:ind w:firstLine="420"/>
    </w:pPr>
    <w:rPr>
      <w:sz w:val="24"/>
      <w:szCs w:val="20"/>
    </w:rPr>
  </w:style>
  <w:style w:type="paragraph" w:customStyle="1" w:styleId="79">
    <w:name w:val="标题3"/>
    <w:basedOn w:val="1"/>
    <w:uiPriority w:val="0"/>
    <w:pPr>
      <w:tabs>
        <w:tab w:val="left" w:pos="1857"/>
      </w:tabs>
    </w:pPr>
    <w:rPr>
      <w:b/>
      <w:color w:val="000000"/>
      <w:sz w:val="24"/>
      <w:szCs w:val="20"/>
    </w:rPr>
  </w:style>
  <w:style w:type="paragraph" w:customStyle="1" w:styleId="80">
    <w:name w:val="正文2"/>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1">
    <w:name w:val="TESTO"/>
    <w:basedOn w:val="1"/>
    <w:qFormat/>
    <w:uiPriority w:val="0"/>
    <w:pPr>
      <w:autoSpaceDE w:val="0"/>
      <w:autoSpaceDN w:val="0"/>
      <w:adjustRightInd w:val="0"/>
      <w:spacing w:line="240" w:lineRule="atLeast"/>
      <w:ind w:left="1247" w:right="851" w:hanging="851"/>
    </w:pPr>
    <w:rPr>
      <w:rFonts w:ascii="Arial" w:hAnsi="Arial"/>
      <w:kern w:val="0"/>
      <w:sz w:val="22"/>
      <w:szCs w:val="20"/>
      <w:lang w:val="en-GB"/>
    </w:rPr>
  </w:style>
  <w:style w:type="paragraph" w:customStyle="1" w:styleId="82">
    <w:name w:val="85F7C67048BB493DBB83D105582093E0"/>
    <w:qFormat/>
    <w:uiPriority w:val="0"/>
    <w:pPr>
      <w:spacing w:after="200" w:line="276" w:lineRule="auto"/>
    </w:pPr>
    <w:rPr>
      <w:rFonts w:ascii="Calibri" w:hAnsi="Calibri" w:eastAsia="宋体" w:cs="Times New Roman"/>
      <w:sz w:val="22"/>
      <w:szCs w:val="22"/>
      <w:lang w:val="en-US" w:eastAsia="en-US" w:bidi="ar-SA"/>
    </w:rPr>
  </w:style>
  <w:style w:type="paragraph" w:customStyle="1" w:styleId="83">
    <w:name w:val="gb1"/>
    <w:basedOn w:val="1"/>
    <w:qFormat/>
    <w:uiPriority w:val="0"/>
    <w:pPr>
      <w:widowControl/>
      <w:tabs>
        <w:tab w:val="left" w:pos="227"/>
      </w:tabs>
      <w:overflowPunct w:val="0"/>
      <w:autoSpaceDE w:val="0"/>
      <w:autoSpaceDN w:val="0"/>
      <w:adjustRightInd w:val="0"/>
      <w:spacing w:before="120" w:after="120"/>
      <w:jc w:val="left"/>
      <w:textAlignment w:val="baseline"/>
    </w:pPr>
    <w:rPr>
      <w:rFonts w:ascii="Arial" w:hAnsi="Arial" w:eastAsia="仿宋体"/>
      <w:kern w:val="0"/>
      <w:sz w:val="24"/>
      <w:szCs w:val="20"/>
    </w:rPr>
  </w:style>
  <w:style w:type="paragraph" w:customStyle="1" w:styleId="84">
    <w:name w:val="样式2"/>
    <w:basedOn w:val="25"/>
    <w:qFormat/>
    <w:uiPriority w:val="0"/>
    <w:pPr>
      <w:tabs>
        <w:tab w:val="clear" w:pos="525"/>
        <w:tab w:val="clear" w:pos="8890"/>
      </w:tabs>
      <w:autoSpaceDE/>
      <w:autoSpaceDN/>
      <w:spacing w:before="0" w:after="0"/>
      <w:jc w:val="both"/>
    </w:pPr>
    <w:rPr>
      <w:rFonts w:ascii="Times New Roman" w:hAnsi="Times New Roman" w:cs="Times New Roman"/>
      <w:caps w:val="0"/>
      <w:color w:val="auto"/>
      <w:szCs w:val="20"/>
    </w:rPr>
  </w:style>
  <w:style w:type="paragraph" w:customStyle="1" w:styleId="85">
    <w:name w:val="1"/>
    <w:basedOn w:val="1"/>
    <w:next w:val="1"/>
    <w:uiPriority w:val="0"/>
  </w:style>
  <w:style w:type="paragraph" w:customStyle="1" w:styleId="86">
    <w:name w:val="xl26"/>
    <w:basedOn w:val="1"/>
    <w:qFormat/>
    <w:uiPriority w:val="0"/>
    <w:pPr>
      <w:widowControl/>
      <w:pBdr>
        <w:bottom w:val="single" w:color="auto" w:sz="4" w:space="0"/>
        <w:right w:val="single" w:color="auto" w:sz="4" w:space="0"/>
      </w:pBdr>
      <w:spacing w:before="100" w:beforeAutospacing="1" w:after="100" w:afterAutospacing="1"/>
      <w:jc w:val="center"/>
    </w:pPr>
    <w:rPr>
      <w:rFonts w:hint="eastAsia" w:ascii="黑体" w:hAnsi="Arial Unicode MS" w:eastAsia="黑体" w:cs="Arial Unicode MS"/>
      <w:kern w:val="0"/>
      <w:szCs w:val="21"/>
    </w:rPr>
  </w:style>
  <w:style w:type="paragraph" w:customStyle="1" w:styleId="87">
    <w:name w:val="正文文本 21"/>
    <w:basedOn w:val="1"/>
    <w:qFormat/>
    <w:uiPriority w:val="0"/>
    <w:pPr>
      <w:spacing w:after="120" w:line="480" w:lineRule="auto"/>
    </w:pPr>
    <w:rPr>
      <w:sz w:val="24"/>
      <w:szCs w:val="20"/>
    </w:rPr>
  </w:style>
  <w:style w:type="paragraph" w:customStyle="1" w:styleId="88">
    <w:name w:val="rientro1"/>
    <w:basedOn w:val="4"/>
    <w:uiPriority w:val="0"/>
    <w:pPr>
      <w:autoSpaceDE w:val="0"/>
      <w:autoSpaceDN w:val="0"/>
      <w:spacing w:line="240" w:lineRule="atLeast"/>
      <w:ind w:left="1701" w:right="851" w:hanging="426"/>
      <w:jc w:val="both"/>
      <w:textAlignment w:val="auto"/>
    </w:pPr>
    <w:rPr>
      <w:rFonts w:ascii="Arial" w:hAnsi="Arial"/>
      <w:sz w:val="22"/>
      <w:lang w:val="en-GB"/>
    </w:rPr>
  </w:style>
  <w:style w:type="paragraph" w:customStyle="1" w:styleId="89">
    <w:name w:val="样式1"/>
    <w:basedOn w:val="1"/>
    <w:uiPriority w:val="0"/>
    <w:rPr>
      <w:sz w:val="24"/>
      <w:szCs w:val="20"/>
    </w:rPr>
  </w:style>
  <w:style w:type="paragraph" w:customStyle="1" w:styleId="90">
    <w:name w:val="正文（新）"/>
    <w:link w:val="91"/>
    <w:qFormat/>
    <w:uiPriority w:val="0"/>
    <w:pPr>
      <w:tabs>
        <w:tab w:val="left" w:pos="425"/>
        <w:tab w:val="left" w:pos="567"/>
      </w:tabs>
      <w:suppressAutoHyphens/>
      <w:spacing w:line="360" w:lineRule="auto"/>
      <w:ind w:firstLine="560" w:firstLineChars="200"/>
    </w:pPr>
    <w:rPr>
      <w:rFonts w:ascii="宋体" w:hAnsi="宋体" w:eastAsia="宋体" w:cs="Times New Roman"/>
      <w:color w:val="000000"/>
      <w:spacing w:val="20"/>
      <w:kern w:val="2"/>
      <w:sz w:val="24"/>
      <w:szCs w:val="24"/>
      <w:lang w:val="en-US" w:eastAsia="zh-CN" w:bidi="ar-SA"/>
    </w:rPr>
  </w:style>
  <w:style w:type="character" w:customStyle="1" w:styleId="91">
    <w:name w:val="正文（新） Char"/>
    <w:link w:val="90"/>
    <w:uiPriority w:val="0"/>
    <w:rPr>
      <w:rFonts w:ascii="宋体" w:hAnsi="宋体" w:eastAsia="宋体" w:cs="Times New Roman"/>
      <w:color w:val="000000"/>
      <w:spacing w:val="20"/>
      <w:kern w:val="2"/>
      <w:sz w:val="24"/>
      <w:szCs w:val="24"/>
    </w:rPr>
  </w:style>
  <w:style w:type="paragraph" w:customStyle="1" w:styleId="92">
    <w:name w:val="标题2（新）"/>
    <w:link w:val="93"/>
    <w:qFormat/>
    <w:uiPriority w:val="0"/>
    <w:pPr>
      <w:keepNext/>
      <w:spacing w:before="120" w:line="360" w:lineRule="auto"/>
      <w:ind w:left="840" w:hanging="420"/>
      <w:outlineLvl w:val="1"/>
    </w:pPr>
    <w:rPr>
      <w:rFonts w:ascii="宋体" w:hAnsi="宋体" w:eastAsia="宋体" w:cs="Times New Roman"/>
      <w:b/>
      <w:snapToGrid w:val="0"/>
      <w:sz w:val="28"/>
      <w:lang w:val="en-US" w:eastAsia="zh-CN" w:bidi="ar-SA"/>
    </w:rPr>
  </w:style>
  <w:style w:type="character" w:customStyle="1" w:styleId="93">
    <w:name w:val="标题2（新） Char1"/>
    <w:link w:val="92"/>
    <w:qFormat/>
    <w:uiPriority w:val="0"/>
    <w:rPr>
      <w:rFonts w:ascii="宋体" w:hAnsi="宋体" w:eastAsia="宋体" w:cs="Times New Roman"/>
      <w:b/>
      <w:snapToGrid w:val="0"/>
      <w:sz w:val="28"/>
    </w:rPr>
  </w:style>
  <w:style w:type="paragraph" w:customStyle="1" w:styleId="94">
    <w:name w:val="标题1（新）"/>
    <w:qFormat/>
    <w:uiPriority w:val="0"/>
    <w:pPr>
      <w:keepNext/>
      <w:spacing w:before="160" w:after="160" w:line="360" w:lineRule="auto"/>
      <w:ind w:left="720" w:hanging="720"/>
      <w:jc w:val="center"/>
      <w:outlineLvl w:val="0"/>
    </w:pPr>
    <w:rPr>
      <w:rFonts w:ascii="黑体" w:hAnsi="宋体" w:eastAsia="黑体" w:cs="黑体"/>
      <w:b/>
      <w:bCs/>
      <w:spacing w:val="20"/>
      <w:kern w:val="44"/>
      <w:sz w:val="30"/>
      <w:szCs w:val="30"/>
      <w:lang w:val="en-US" w:eastAsia="zh-CN" w:bidi="ar-SA"/>
    </w:rPr>
  </w:style>
  <w:style w:type="paragraph" w:customStyle="1" w:styleId="95">
    <w:name w:val="标题3（新）"/>
    <w:basedOn w:val="92"/>
    <w:qFormat/>
    <w:uiPriority w:val="0"/>
    <w:pPr>
      <w:tabs>
        <w:tab w:val="left" w:pos="360"/>
        <w:tab w:val="left" w:pos="1857"/>
      </w:tabs>
      <w:spacing w:after="120"/>
      <w:ind w:left="840" w:hanging="420"/>
    </w:pPr>
  </w:style>
  <w:style w:type="paragraph" w:customStyle="1" w:styleId="96">
    <w:name w:val="自动编号（新）"/>
    <w:link w:val="97"/>
    <w:qFormat/>
    <w:uiPriority w:val="0"/>
    <w:pPr>
      <w:tabs>
        <w:tab w:val="left" w:pos="855"/>
      </w:tabs>
      <w:spacing w:line="360" w:lineRule="auto"/>
      <w:ind w:left="855" w:firstLine="200" w:firstLineChars="200"/>
    </w:pPr>
    <w:rPr>
      <w:rFonts w:ascii="宋体" w:hAnsi="宋体" w:eastAsia="宋体" w:cs="Times New Roman"/>
      <w:color w:val="000000"/>
      <w:spacing w:val="20"/>
      <w:kern w:val="2"/>
      <w:sz w:val="24"/>
      <w:szCs w:val="24"/>
      <w:lang w:val="en-US" w:eastAsia="zh-CN" w:bidi="ar-SA"/>
    </w:rPr>
  </w:style>
  <w:style w:type="character" w:customStyle="1" w:styleId="97">
    <w:name w:val="自动编号（新） Char"/>
    <w:link w:val="96"/>
    <w:uiPriority w:val="0"/>
    <w:rPr>
      <w:rFonts w:ascii="宋体" w:hAnsi="宋体" w:eastAsia="宋体" w:cs="Times New Roman"/>
      <w:color w:val="000000"/>
      <w:spacing w:val="20"/>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wmf"/><Relationship Id="rId16" Type="http://schemas.openxmlformats.org/officeDocument/2006/relationships/oleObject" Target="embeddings/oleObject1.bin"/><Relationship Id="rId15" Type="http://schemas.openxmlformats.org/officeDocument/2006/relationships/theme" Target="theme/theme1.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footer" Target="footer2.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32</Pages>
  <Words>15449</Words>
  <Characters>16228</Characters>
  <Lines>137</Lines>
  <Paragraphs>38</Paragraphs>
  <TotalTime>0</TotalTime>
  <ScaleCrop>false</ScaleCrop>
  <LinksUpToDate>false</LinksUpToDate>
  <CharactersWithSpaces>17410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2024-09-20T01:10:00Z</dcterms:created>
  <dc:creator>x</dc:creator>
  <cp:lastModifiedBy>Administrator</cp:lastModifiedBy>
  <cp:lastPrinted>2024-06-07T00:29:00Z</cp:lastPrinted>
  <dcterms:modified xsi:type="dcterms:W3CDTF">2024-09-25T09:46:58Z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1446489ABCB14EA3AB3333EF7CF6D2E0_13</vt:lpwstr>
  </property>
</Properties>
</file>